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07A1A" w14:textId="5DC6CD89" w:rsidR="00304AEE" w:rsidRDefault="004E269B" w:rsidP="00C746E8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>Impacto de un simbiótico (</w:t>
      </w:r>
      <w:r w:rsidRPr="0044779A">
        <w:rPr>
          <w:rFonts w:ascii="Roboto" w:eastAsia="Roboto" w:hAnsi="Roboto" w:cs="Roboto"/>
          <w:b/>
          <w:i/>
          <w:iCs/>
          <w:color w:val="000000"/>
        </w:rPr>
        <w:t>Lactobacillus</w:t>
      </w:r>
      <w:r>
        <w:rPr>
          <w:rFonts w:ascii="Roboto" w:eastAsia="Roboto" w:hAnsi="Roboto" w:cs="Roboto"/>
          <w:b/>
          <w:color w:val="000000"/>
        </w:rPr>
        <w:t xml:space="preserve"> </w:t>
      </w:r>
      <w:r w:rsidRPr="0044779A">
        <w:rPr>
          <w:rFonts w:ascii="Roboto" w:eastAsia="Roboto" w:hAnsi="Roboto" w:cs="Roboto"/>
          <w:b/>
          <w:i/>
          <w:iCs/>
          <w:color w:val="000000"/>
        </w:rPr>
        <w:t>acidophilus</w:t>
      </w:r>
      <w:r>
        <w:rPr>
          <w:rFonts w:ascii="Roboto" w:eastAsia="Roboto" w:hAnsi="Roboto" w:cs="Roboto"/>
          <w:b/>
          <w:color w:val="000000"/>
        </w:rPr>
        <w:t xml:space="preserve"> e inulina de agave) en el desord</w:t>
      </w:r>
      <w:r w:rsidR="0044779A">
        <w:rPr>
          <w:rFonts w:ascii="Roboto" w:eastAsia="Roboto" w:hAnsi="Roboto" w:cs="Roboto"/>
          <w:b/>
          <w:color w:val="000000"/>
        </w:rPr>
        <w:t>en cognitivo: Estudios en un modelo experimental y en pacientes con diabetes mellitus tipo 2.</w:t>
      </w:r>
    </w:p>
    <w:p w14:paraId="644905AB" w14:textId="15D15BFA" w:rsidR="00304AEE" w:rsidRDefault="00133AD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Antonio Ibarra</w:t>
      </w:r>
      <w:r w:rsidR="006C4997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82626E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a</w:t>
      </w:r>
      <w:r w:rsidR="008B64AF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  <w:r w:rsidR="006C4997">
        <w:rPr>
          <w:rFonts w:ascii="Roboto" w:eastAsia="Roboto" w:hAnsi="Roboto" w:cs="Roboto"/>
          <w:b/>
          <w:color w:val="000000"/>
          <w:sz w:val="20"/>
          <w:szCs w:val="20"/>
        </w:rPr>
        <w:t>, Miry Lobatón-Ginsberg</w:t>
      </w:r>
      <w:r w:rsidR="006C4997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82626E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b</w:t>
      </w:r>
      <w:r w:rsidR="006C4997">
        <w:rPr>
          <w:rFonts w:ascii="Roboto" w:eastAsia="Roboto" w:hAnsi="Roboto" w:cs="Roboto"/>
          <w:b/>
          <w:color w:val="000000"/>
          <w:sz w:val="20"/>
          <w:szCs w:val="20"/>
        </w:rPr>
        <w:t>, y Alejandra Romo-Araiza</w:t>
      </w:r>
      <w:r w:rsidR="006C4997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82626E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c</w:t>
      </w:r>
    </w:p>
    <w:p w14:paraId="1DC495FC" w14:textId="77777777" w:rsidR="00B82CA5" w:rsidRDefault="008B64A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0D5D74">
        <w:rPr>
          <w:rFonts w:ascii="Roboto" w:eastAsia="Roboto" w:hAnsi="Roboto" w:cs="Roboto"/>
          <w:color w:val="000000"/>
          <w:sz w:val="18"/>
          <w:szCs w:val="18"/>
        </w:rPr>
        <w:t>Centro de Investigación en Ciencias de la Salud, Universidad An</w:t>
      </w:r>
      <w:r w:rsidR="00BA39C0">
        <w:rPr>
          <w:rFonts w:ascii="Roboto" w:eastAsia="Roboto" w:hAnsi="Roboto" w:cs="Roboto"/>
          <w:color w:val="000000"/>
          <w:sz w:val="18"/>
          <w:szCs w:val="18"/>
        </w:rPr>
        <w:t>áhuac México</w:t>
      </w:r>
      <w:r>
        <w:rPr>
          <w:rFonts w:ascii="Roboto" w:eastAsia="Roboto" w:hAnsi="Roboto" w:cs="Roboto"/>
          <w:color w:val="000000"/>
          <w:sz w:val="18"/>
          <w:szCs w:val="18"/>
        </w:rPr>
        <w:t>,</w:t>
      </w:r>
      <w:r w:rsidR="00BA39C0">
        <w:rPr>
          <w:rFonts w:ascii="Roboto" w:eastAsia="Roboto" w:hAnsi="Roboto" w:cs="Roboto"/>
          <w:color w:val="000000"/>
          <w:sz w:val="18"/>
          <w:szCs w:val="18"/>
        </w:rPr>
        <w:t xml:space="preserve"> Huixquilucan, México</w:t>
      </w:r>
    </w:p>
    <w:p w14:paraId="33006D5A" w14:textId="1837917D" w:rsidR="009478B1" w:rsidRPr="009478B1" w:rsidRDefault="00C74B6A" w:rsidP="009478B1">
      <w:pPr>
        <w:jc w:val="center"/>
        <w:rPr>
          <w:rFonts w:ascii="Roboto" w:eastAsia="Roboto" w:hAnsi="Roboto" w:cs="Roboto"/>
          <w:sz w:val="18"/>
          <w:szCs w:val="18"/>
        </w:rPr>
      </w:pPr>
      <w:r w:rsidRPr="00C74B6A">
        <w:rPr>
          <w:rFonts w:ascii="Roboto" w:eastAsia="Roboto" w:hAnsi="Roboto" w:cs="Roboto"/>
          <w:sz w:val="18"/>
          <w:szCs w:val="18"/>
          <w:vertAlign w:val="superscript"/>
        </w:rPr>
        <w:t>a</w:t>
      </w:r>
      <w:r w:rsidR="009478B1">
        <w:rPr>
          <w:rFonts w:ascii="Roboto" w:eastAsia="Roboto" w:hAnsi="Roboto" w:cs="Roboto"/>
          <w:sz w:val="18"/>
          <w:szCs w:val="18"/>
        </w:rPr>
        <w:t>ORCID: 0000-0003-2489-4689</w:t>
      </w:r>
    </w:p>
    <w:p w14:paraId="606B633C" w14:textId="593BDDBC" w:rsidR="00304AEE" w:rsidRDefault="00C74B6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 w:rsidRPr="00C74B6A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b</w:t>
      </w:r>
      <w:r w:rsidR="00B82CA5">
        <w:rPr>
          <w:rFonts w:ascii="Roboto" w:eastAsia="Roboto" w:hAnsi="Roboto" w:cs="Roboto"/>
          <w:color w:val="000000"/>
          <w:sz w:val="18"/>
          <w:szCs w:val="18"/>
        </w:rPr>
        <w:t>ORCID:</w:t>
      </w:r>
      <w:r w:rsidR="009A3469">
        <w:rPr>
          <w:rFonts w:ascii="Roboto" w:eastAsia="Roboto" w:hAnsi="Roboto" w:cs="Roboto"/>
          <w:color w:val="000000"/>
          <w:sz w:val="18"/>
          <w:szCs w:val="18"/>
        </w:rPr>
        <w:t>0000-0001-8227-087X</w:t>
      </w:r>
    </w:p>
    <w:p w14:paraId="12CAE724" w14:textId="2E0DF203" w:rsidR="00304AEE" w:rsidRDefault="00C74B6A">
      <w:pPr>
        <w:jc w:val="center"/>
        <w:rPr>
          <w:rFonts w:ascii="Roboto" w:eastAsia="Roboto" w:hAnsi="Roboto" w:cs="Roboto"/>
          <w:sz w:val="18"/>
          <w:szCs w:val="18"/>
        </w:rPr>
      </w:pPr>
      <w:r w:rsidRPr="00C74B6A">
        <w:rPr>
          <w:rFonts w:ascii="Roboto" w:eastAsia="Roboto" w:hAnsi="Roboto" w:cs="Roboto"/>
          <w:sz w:val="18"/>
          <w:szCs w:val="18"/>
          <w:vertAlign w:val="superscript"/>
        </w:rPr>
        <w:t>c</w:t>
      </w:r>
      <w:r w:rsidR="00B82CA5">
        <w:rPr>
          <w:rFonts w:ascii="Roboto" w:eastAsia="Roboto" w:hAnsi="Roboto" w:cs="Roboto"/>
          <w:sz w:val="18"/>
          <w:szCs w:val="18"/>
        </w:rPr>
        <w:t xml:space="preserve">ORCID: </w:t>
      </w:r>
      <w:r w:rsidR="002254B9">
        <w:rPr>
          <w:rFonts w:ascii="Roboto" w:eastAsia="Roboto" w:hAnsi="Roboto" w:cs="Roboto"/>
          <w:sz w:val="18"/>
          <w:szCs w:val="18"/>
        </w:rPr>
        <w:t>0000-0003-4950-910X</w:t>
      </w:r>
    </w:p>
    <w:p w14:paraId="0D120A9A" w14:textId="30C77EBC" w:rsidR="00304AEE" w:rsidRDefault="008B64AF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2D5D4E">
        <w:rPr>
          <w:rFonts w:ascii="Roboto" w:eastAsia="Roboto" w:hAnsi="Roboto" w:cs="Roboto"/>
          <w:sz w:val="18"/>
          <w:szCs w:val="18"/>
        </w:rPr>
        <w:t>jose.ibarra@anahuac.mx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082D641B" w14:textId="77777777" w:rsidR="00304AEE" w:rsidRDefault="004436D2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304AEE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0C3EDCE7">
          <v:rect id="_x0000_i1025" style="width:0;height:1.5pt" o:hralign="center" o:hrstd="t" o:hr="t" fillcolor="#a0a0a0" stroked="f"/>
        </w:pict>
      </w:r>
    </w:p>
    <w:p w14:paraId="03466C51" w14:textId="77777777" w:rsidR="00304AEE" w:rsidRDefault="00304AE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3FB618BF" w14:textId="516DA614" w:rsidR="00304AEE" w:rsidRDefault="005915F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14:paraId="7E8B49B7" w14:textId="4963A649" w:rsidR="00304AEE" w:rsidRDefault="00F56B8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5915F4">
        <w:rPr>
          <w:rFonts w:ascii="Roboto" w:hAnsi="Roboto"/>
          <w:sz w:val="20"/>
          <w:szCs w:val="20"/>
        </w:rPr>
        <w:t xml:space="preserve">La diabetes mellitus tipo 2 (DM2) constituye uno de los principales problemas de salud pública a nivel mundial, con más de 537 millones de adultos afectados (IDF, </w:t>
      </w:r>
      <w:proofErr w:type="gramStart"/>
      <w:r w:rsidRPr="005915F4">
        <w:rPr>
          <w:rFonts w:ascii="Roboto" w:hAnsi="Roboto"/>
          <w:sz w:val="20"/>
          <w:szCs w:val="20"/>
        </w:rPr>
        <w:t>2021;World</w:t>
      </w:r>
      <w:proofErr w:type="gramEnd"/>
      <w:r w:rsidRPr="005915F4">
        <w:rPr>
          <w:rFonts w:ascii="Roboto" w:hAnsi="Roboto"/>
          <w:sz w:val="20"/>
          <w:szCs w:val="20"/>
        </w:rPr>
        <w:t xml:space="preserve"> Health Organization [WHO], 2019). En México, su prevalencia alcanza cifras alarmantes y se asocia a diversas complicaciones, entre ellas el desorden cognitivo (DC), cuya fisiopatología involucra estrés oxidativo, disfunción mitocondrial y </w:t>
      </w:r>
      <w:proofErr w:type="spellStart"/>
      <w:r w:rsidRPr="005915F4">
        <w:rPr>
          <w:rFonts w:ascii="Roboto" w:hAnsi="Roboto"/>
          <w:sz w:val="20"/>
          <w:szCs w:val="20"/>
        </w:rPr>
        <w:t>neuroinflamación</w:t>
      </w:r>
      <w:proofErr w:type="spellEnd"/>
      <w:r w:rsidRPr="005915F4">
        <w:rPr>
          <w:rFonts w:ascii="Roboto" w:hAnsi="Roboto"/>
          <w:sz w:val="20"/>
          <w:szCs w:val="20"/>
        </w:rPr>
        <w:t xml:space="preserve">. </w:t>
      </w:r>
      <w:proofErr w:type="gramStart"/>
      <w:r w:rsidRPr="005915F4">
        <w:rPr>
          <w:rFonts w:ascii="Roboto" w:hAnsi="Roboto"/>
          <w:sz w:val="20"/>
          <w:szCs w:val="20"/>
        </w:rPr>
        <w:t>La microbiota intestinal</w:t>
      </w:r>
      <w:proofErr w:type="gramEnd"/>
      <w:r w:rsidRPr="005915F4">
        <w:rPr>
          <w:rFonts w:ascii="Roboto" w:hAnsi="Roboto"/>
          <w:sz w:val="20"/>
          <w:szCs w:val="20"/>
        </w:rPr>
        <w:t xml:space="preserve"> desempeña un papel modulador en la inflamación sistémica y en la producción de ácidos grasos de cadena corta, como el butirato, el cual promueve la expresión del factor neurotrófico derivado del cerebro (BDNF), molécula clave en los procesos de memoria y plasticidad sináptica (Romo-Araiza &amp; Ibarra, 2020). En este contexto, el eje intestino-cerebro emerge como un blanco terapéutico innovador, ya que la modulación </w:t>
      </w:r>
      <w:proofErr w:type="gramStart"/>
      <w:r w:rsidRPr="005915F4">
        <w:rPr>
          <w:rFonts w:ascii="Roboto" w:hAnsi="Roboto"/>
          <w:sz w:val="20"/>
          <w:szCs w:val="20"/>
        </w:rPr>
        <w:t>de la microbiota</w:t>
      </w:r>
      <w:proofErr w:type="gramEnd"/>
      <w:r w:rsidRPr="005915F4">
        <w:rPr>
          <w:rFonts w:ascii="Roboto" w:hAnsi="Roboto"/>
          <w:sz w:val="20"/>
          <w:szCs w:val="20"/>
        </w:rPr>
        <w:t xml:space="preserve"> mediante un simbiótico podría disminuir la </w:t>
      </w:r>
      <w:proofErr w:type="spellStart"/>
      <w:r w:rsidRPr="005915F4">
        <w:rPr>
          <w:rFonts w:ascii="Roboto" w:hAnsi="Roboto"/>
          <w:sz w:val="20"/>
          <w:szCs w:val="20"/>
        </w:rPr>
        <w:t>neuroinflamación</w:t>
      </w:r>
      <w:proofErr w:type="spellEnd"/>
      <w:r w:rsidRPr="005915F4">
        <w:rPr>
          <w:rFonts w:ascii="Roboto" w:hAnsi="Roboto"/>
          <w:sz w:val="20"/>
          <w:szCs w:val="20"/>
        </w:rPr>
        <w:t xml:space="preserve"> y mejorar la función cognitiva. En la primera fase de este trabajo se realizó un estudio experimental para evaluar el impacto de un simbiótico compuesto por </w:t>
      </w:r>
      <w:r w:rsidRPr="005915F4">
        <w:rPr>
          <w:rStyle w:val="nfasis"/>
          <w:rFonts w:ascii="Roboto" w:hAnsi="Roboto"/>
          <w:sz w:val="20"/>
          <w:szCs w:val="20"/>
        </w:rPr>
        <w:t>Lactobacillus acidophilus</w:t>
      </w:r>
      <w:r w:rsidRPr="005915F4">
        <w:rPr>
          <w:rFonts w:ascii="Roboto" w:hAnsi="Roboto"/>
          <w:sz w:val="20"/>
          <w:szCs w:val="20"/>
        </w:rPr>
        <w:t xml:space="preserve"> e inulina de agave sobre variables cognitivas en un modelo animal con DM2.</w:t>
      </w:r>
    </w:p>
    <w:p w14:paraId="026A464D" w14:textId="77777777" w:rsidR="00E81781" w:rsidRPr="005915F4" w:rsidRDefault="00E8178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097FA3A" w14:textId="642C39B7" w:rsidR="00304AEE" w:rsidRDefault="00737E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PRIMERA FASE</w:t>
      </w:r>
      <w:r w:rsidR="00D45E68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</w:p>
    <w:p w14:paraId="1B74CD07" w14:textId="25D89F5A" w:rsidR="00304AEE" w:rsidRDefault="00E7090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3B4590">
        <w:rPr>
          <w:rFonts w:ascii="Roboto" w:hAnsi="Roboto"/>
          <w:sz w:val="20"/>
          <w:szCs w:val="20"/>
        </w:rPr>
        <w:t xml:space="preserve">En la primera fase de este trabajo se realizó un estudio experimental para evaluar el impacto de un simbiótico compuesto por </w:t>
      </w:r>
      <w:r w:rsidRPr="003B4590">
        <w:rPr>
          <w:rStyle w:val="nfasis"/>
          <w:rFonts w:ascii="Roboto" w:hAnsi="Roboto"/>
          <w:sz w:val="20"/>
          <w:szCs w:val="20"/>
        </w:rPr>
        <w:t>Lactobacillus acidophilus</w:t>
      </w:r>
      <w:r w:rsidRPr="003B4590">
        <w:rPr>
          <w:rFonts w:ascii="Roboto" w:hAnsi="Roboto"/>
          <w:sz w:val="20"/>
          <w:szCs w:val="20"/>
        </w:rPr>
        <w:t xml:space="preserve"> e inulina de agave sobre variables cognitivas en un modelo animal con DM2.</w:t>
      </w:r>
      <w:r w:rsidR="009E30A0" w:rsidRPr="003B4590">
        <w:rPr>
          <w:rFonts w:ascii="Roboto" w:hAnsi="Roboto"/>
          <w:sz w:val="20"/>
          <w:szCs w:val="20"/>
        </w:rPr>
        <w:t xml:space="preserve"> </w:t>
      </w:r>
      <w:r w:rsidRPr="003B4590">
        <w:rPr>
          <w:rFonts w:ascii="Roboto" w:hAnsi="Roboto"/>
          <w:sz w:val="20"/>
          <w:szCs w:val="20"/>
        </w:rPr>
        <w:t xml:space="preserve">Se utilizó un diseño con cuatro grupos experimentales y un grupo control. La diabetes fue inducida mediante dieta alta en grasa y administración de </w:t>
      </w:r>
      <w:proofErr w:type="spellStart"/>
      <w:r w:rsidRPr="003B4590">
        <w:rPr>
          <w:rFonts w:ascii="Roboto" w:hAnsi="Roboto"/>
          <w:sz w:val="20"/>
          <w:szCs w:val="20"/>
        </w:rPr>
        <w:t>estreptozotocina</w:t>
      </w:r>
      <w:proofErr w:type="spellEnd"/>
      <w:r w:rsidRPr="003B4590">
        <w:rPr>
          <w:rFonts w:ascii="Roboto" w:hAnsi="Roboto"/>
          <w:sz w:val="20"/>
          <w:szCs w:val="20"/>
        </w:rPr>
        <w:t xml:space="preserve">. El simbiótico se administró diariamente durante 42 días. La confirmación del estado diabético se realizó mediante prueba de tolerancia a la glucosa. La memoria se evaluó con el laberinto acuático de Morris y el laberinto radial de ocho brazos. Se determinaron las concentraciones hipocampales de IL-10, TNF-α, BDNF y butirato. En esta misma región se evaluaron plasticidad y transmisión sináptica, potenciación a largo plazo (LTP) y actividad neuronal como parámetros electrofisiológicos de función cognitiva. El análisis estadístico incluyó pruebas paramétricas y no paramétricas </w:t>
      </w:r>
      <w:r w:rsidRPr="00A86106">
        <w:rPr>
          <w:rFonts w:ascii="Roboto" w:hAnsi="Roboto"/>
          <w:sz w:val="20"/>
          <w:szCs w:val="20"/>
        </w:rPr>
        <w:t xml:space="preserve">según la distribución de los datos. </w:t>
      </w:r>
      <w:r w:rsidRPr="00A86106">
        <w:rPr>
          <w:rStyle w:val="Textoennegrita"/>
          <w:rFonts w:ascii="Roboto" w:hAnsi="Roboto"/>
          <w:sz w:val="20"/>
          <w:szCs w:val="20"/>
        </w:rPr>
        <w:t>Resultados:</w:t>
      </w:r>
      <w:r w:rsidRPr="00A86106">
        <w:rPr>
          <w:rFonts w:ascii="Roboto" w:hAnsi="Roboto"/>
          <w:sz w:val="20"/>
          <w:szCs w:val="20"/>
        </w:rPr>
        <w:t xml:space="preserve"> Se confirmó la inducción de diabetes en los grupos correspondientes. El grupo tratado con el simbiótico mostró un mejor desempeño </w:t>
      </w:r>
      <w:r w:rsidRPr="00A86106">
        <w:rPr>
          <w:rFonts w:ascii="Roboto" w:hAnsi="Roboto"/>
          <w:sz w:val="20"/>
          <w:szCs w:val="20"/>
        </w:rPr>
        <w:t>en las pruebas de memoria y aprendizaje (Figura 1), así como un incremento significativo en las concentraciones hipocampales de IL-10, BDNF y butirato, junto con una reducción de TNF-α. Los estudios electrofisiológicos evidenciaron un aumento en la plasticidad sináptica y una LTP más robusta en el grupo tratado. Asimismo, se observó una mejor sincronización de la actividad neuronal y mayor eficiencia en la transmisión sináptica.</w:t>
      </w:r>
    </w:p>
    <w:p w14:paraId="62806EE3" w14:textId="77777777" w:rsidR="000703FA" w:rsidRDefault="000703FA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2C4257E4" w14:textId="64F6935E" w:rsidR="003B4590" w:rsidRDefault="00014253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noProof/>
        </w:rPr>
        <w:drawing>
          <wp:inline distT="0" distB="0" distL="0" distR="0" wp14:anchorId="4818EEA3" wp14:editId="14620BB9">
            <wp:extent cx="2978150" cy="2805803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620" cy="2835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295A4" w14:textId="65EAD6F8" w:rsidR="000703FA" w:rsidRPr="004F2232" w:rsidRDefault="000703F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014253">
        <w:rPr>
          <w:rFonts w:ascii="Roboto" w:hAnsi="Roboto"/>
          <w:b/>
          <w:bCs/>
          <w:sz w:val="20"/>
          <w:szCs w:val="20"/>
        </w:rPr>
        <w:t>Figura 1.</w:t>
      </w:r>
      <w:r>
        <w:rPr>
          <w:rFonts w:ascii="Roboto" w:hAnsi="Roboto"/>
          <w:sz w:val="20"/>
          <w:szCs w:val="20"/>
        </w:rPr>
        <w:t xml:space="preserve"> Resultados primera fase </w:t>
      </w:r>
    </w:p>
    <w:p w14:paraId="06A77CF6" w14:textId="77777777" w:rsidR="000703FA" w:rsidRDefault="000703F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b/>
          <w:bCs/>
          <w:sz w:val="20"/>
          <w:szCs w:val="20"/>
        </w:rPr>
      </w:pPr>
    </w:p>
    <w:p w14:paraId="4759858C" w14:textId="3143873A" w:rsidR="00737EEC" w:rsidRPr="00737EEC" w:rsidRDefault="00737E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b/>
          <w:bCs/>
          <w:sz w:val="20"/>
          <w:szCs w:val="20"/>
        </w:rPr>
      </w:pPr>
      <w:r w:rsidRPr="00737EEC">
        <w:rPr>
          <w:rFonts w:ascii="Roboto" w:hAnsi="Roboto"/>
          <w:b/>
          <w:bCs/>
          <w:sz w:val="20"/>
          <w:szCs w:val="20"/>
        </w:rPr>
        <w:t>SEGUNDA FASE</w:t>
      </w:r>
    </w:p>
    <w:p w14:paraId="482DE77E" w14:textId="136DEA0F" w:rsidR="00CC4753" w:rsidRDefault="0013219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132191">
        <w:rPr>
          <w:rFonts w:ascii="Roboto" w:hAnsi="Roboto"/>
          <w:sz w:val="20"/>
          <w:szCs w:val="20"/>
        </w:rPr>
        <w:t>En la segunda fase, a nivel clínico, se llevó a cabo un ensayo clínico exploratorio, aleatorizado, doble ciego, con diseño preprueba-posprueba y grupo control.</w:t>
      </w:r>
      <w:r w:rsidR="00E81781">
        <w:rPr>
          <w:rFonts w:ascii="Roboto" w:hAnsi="Roboto"/>
          <w:sz w:val="20"/>
          <w:szCs w:val="20"/>
        </w:rPr>
        <w:t xml:space="preserve"> </w:t>
      </w:r>
      <w:r w:rsidRPr="00132191">
        <w:rPr>
          <w:rFonts w:ascii="Roboto" w:hAnsi="Roboto"/>
          <w:sz w:val="20"/>
          <w:szCs w:val="20"/>
        </w:rPr>
        <w:t xml:space="preserve">Se reclutaron pacientes con DM2, de 50 a 65 años, con diagnóstico de desorden cognitivo evaluado mediante MOCA y T@M. El grupo experimental recibió el simbiótico durante 12 semanas, mientras que el grupo control recibió el vehículo. Se evaluaron función cognitiva (MOCA y T@M), consistencia fecal (Escala de Bristol) y adherencia terapéutica. El análisis incluyó prueba de Shapiro-Wilk y U de Mann-Whitney. </w:t>
      </w:r>
      <w:r w:rsidRPr="00132191">
        <w:rPr>
          <w:rStyle w:val="Textoennegrita"/>
          <w:rFonts w:ascii="Roboto" w:hAnsi="Roboto"/>
          <w:sz w:val="20"/>
          <w:szCs w:val="20"/>
        </w:rPr>
        <w:t>Resultados:</w:t>
      </w:r>
      <w:r w:rsidRPr="00132191">
        <w:rPr>
          <w:rFonts w:ascii="Roboto" w:hAnsi="Roboto"/>
          <w:sz w:val="20"/>
          <w:szCs w:val="20"/>
        </w:rPr>
        <w:t xml:space="preserve"> El grupo tratado mostró una mejoría estadísticamente significativa en MOCA (p = 0.009) y T@M (p = 0.05) en comparación con el grupo control (Figura 2). El delta promedio en MOCA fue mayor en el grupo tratado (3.4 ± 2.07 vs. 1 ± 1.25). Se observó además una tendencia a mejoría en la consistencia </w:t>
      </w:r>
      <w:r w:rsidRPr="00132191">
        <w:rPr>
          <w:rFonts w:ascii="Roboto" w:hAnsi="Roboto"/>
          <w:sz w:val="20"/>
          <w:szCs w:val="20"/>
        </w:rPr>
        <w:lastRenderedPageBreak/>
        <w:t>fecal, aunque sin alcanzar significancia estadística. La adherencia al tratamiento fue del 100%.</w:t>
      </w:r>
    </w:p>
    <w:p w14:paraId="27FFF296" w14:textId="77777777" w:rsidR="00CC4753" w:rsidRDefault="00CC47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65B0207C" w14:textId="77777777" w:rsidR="000703FA" w:rsidRDefault="000703F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5FD9A07F" w14:textId="77777777" w:rsidR="000703FA" w:rsidRDefault="000703F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0981C6AF" w14:textId="52AFE889" w:rsidR="00CC4753" w:rsidRDefault="00CC47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>
        <w:rPr>
          <w:noProof/>
        </w:rPr>
        <w:drawing>
          <wp:inline distT="0" distB="0" distL="0" distR="0" wp14:anchorId="4178BC1E" wp14:editId="3BAA6E9B">
            <wp:extent cx="2717800" cy="3548003"/>
            <wp:effectExtent l="0" t="0" r="635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4644" cy="3583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B5628" w14:textId="77777777" w:rsidR="004F2232" w:rsidRDefault="004F2232" w:rsidP="00F34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4385207C" w14:textId="77777777" w:rsidR="004F2232" w:rsidRDefault="004F2232" w:rsidP="00F34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CC4753">
        <w:rPr>
          <w:rFonts w:ascii="Roboto" w:hAnsi="Roboto"/>
          <w:b/>
          <w:bCs/>
          <w:sz w:val="20"/>
          <w:szCs w:val="20"/>
        </w:rPr>
        <w:t>Figura 2</w:t>
      </w:r>
      <w:r>
        <w:rPr>
          <w:rFonts w:ascii="Roboto" w:hAnsi="Roboto"/>
          <w:sz w:val="20"/>
          <w:szCs w:val="20"/>
        </w:rPr>
        <w:t xml:space="preserve">. Resultados segunda fase </w:t>
      </w:r>
    </w:p>
    <w:p w14:paraId="044AE24E" w14:textId="77777777" w:rsidR="00CC4753" w:rsidRPr="00CC4753" w:rsidRDefault="00CC47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76A68016" w14:textId="77777777" w:rsidR="009E30A0" w:rsidRDefault="009E30A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A96A6EE" w14:textId="6492146A" w:rsidR="00304AEE" w:rsidRPr="00D42E94" w:rsidRDefault="00FB1255" w:rsidP="00D42E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DISCUSIÓN </w:t>
      </w:r>
    </w:p>
    <w:p w14:paraId="4976763F" w14:textId="6D3346B1" w:rsidR="00D42E94" w:rsidRDefault="00D42E94" w:rsidP="00D42E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D42E94">
        <w:rPr>
          <w:rFonts w:ascii="Roboto" w:hAnsi="Roboto"/>
          <w:sz w:val="20"/>
          <w:szCs w:val="20"/>
        </w:rPr>
        <w:t>Los resultados sugieren que el simbiótico actúa como coadyuvante en el tratamiento del desorden cognitivo leve en DM2. Los mecanismos propuestos incluyen la reducción de citocinas proinflamatorias como TNF-α, el incremento en la producción de butirato y el aumento en la expresión de BDNF.</w:t>
      </w:r>
    </w:p>
    <w:p w14:paraId="603BBC78" w14:textId="77777777" w:rsidR="00D42E94" w:rsidRDefault="00D42E94" w:rsidP="00D42E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</w:p>
    <w:p w14:paraId="420BAF58" w14:textId="77777777" w:rsidR="000A1B6C" w:rsidRPr="00031656" w:rsidRDefault="000A1B6C" w:rsidP="000A1B6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b/>
          <w:bCs/>
          <w:sz w:val="20"/>
          <w:szCs w:val="20"/>
        </w:rPr>
      </w:pPr>
      <w:r w:rsidRPr="00031656">
        <w:rPr>
          <w:rFonts w:ascii="Roboto" w:hAnsi="Roboto"/>
          <w:b/>
          <w:bCs/>
          <w:sz w:val="20"/>
          <w:szCs w:val="20"/>
        </w:rPr>
        <w:t xml:space="preserve">CONCLUSIÓN </w:t>
      </w:r>
    </w:p>
    <w:p w14:paraId="08B5ED7F" w14:textId="27F3763C" w:rsidR="000A1B6C" w:rsidRPr="000A1B6C" w:rsidRDefault="000A1B6C" w:rsidP="000A1B6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 w:rsidRPr="000A1B6C">
        <w:rPr>
          <w:rFonts w:ascii="Roboto" w:hAnsi="Roboto"/>
          <w:sz w:val="20"/>
          <w:szCs w:val="20"/>
        </w:rPr>
        <w:t xml:space="preserve">La evidencia integrada de la fase experimental y la fase clínica demuestra que la suplementación con un simbiótico compuesto por </w:t>
      </w:r>
      <w:r w:rsidRPr="000A1B6C">
        <w:rPr>
          <w:rStyle w:val="nfasis"/>
          <w:rFonts w:ascii="Roboto" w:hAnsi="Roboto"/>
          <w:sz w:val="20"/>
          <w:szCs w:val="20"/>
        </w:rPr>
        <w:t>Lactobacillus acidophilus</w:t>
      </w:r>
      <w:r w:rsidRPr="000A1B6C">
        <w:rPr>
          <w:rFonts w:ascii="Roboto" w:hAnsi="Roboto"/>
          <w:sz w:val="20"/>
          <w:szCs w:val="20"/>
        </w:rPr>
        <w:t xml:space="preserve"> e inulina de agave ejerce efectos favorables sobre la función cognitiva en el contexto de la DM2. En modelos experimentales se observaron mejoras inflamatorias, conductuales y electrofisiológicas; en pacientes, se documentó una mejoría significativa en pruebas cognitivas estandarizadas. Estos hallazgos respaldan la hipótesis de que la modulación del eje intestino-cerebro constituye una estrategia terapéutica innovadora y prometedora para disminuir el deterioro cognitivo asociado a la diabetes, lo que justifica la realización de estudios con muestras mayores y la incorporación de biomarcadores objetivos como BDNF y perfiles inflamatorios en futuros ensayos clínicos.</w:t>
      </w:r>
    </w:p>
    <w:p w14:paraId="6B56A336" w14:textId="77777777" w:rsidR="00304AEE" w:rsidRDefault="00304AEE">
      <w:pPr>
        <w:jc w:val="both"/>
        <w:rPr>
          <w:rFonts w:ascii="Roboto" w:eastAsia="Roboto" w:hAnsi="Roboto" w:cs="Roboto"/>
          <w:sz w:val="20"/>
          <w:szCs w:val="20"/>
        </w:rPr>
      </w:pPr>
    </w:p>
    <w:p w14:paraId="75C04680" w14:textId="25D1ECB2" w:rsidR="00304AEE" w:rsidRDefault="008B64AF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REFERENCIAS </w:t>
      </w:r>
    </w:p>
    <w:p w14:paraId="0805F044" w14:textId="64B3273E" w:rsidR="007E7ACA" w:rsidRPr="007E7ACA" w:rsidRDefault="00433437" w:rsidP="007E7ACA">
      <w:pPr>
        <w:pStyle w:val="Prrafodelista"/>
        <w:numPr>
          <w:ilvl w:val="0"/>
          <w:numId w:val="1"/>
        </w:numPr>
        <w:spacing w:before="100" w:beforeAutospacing="1" w:after="100" w:afterAutospacing="1"/>
        <w:jc w:val="both"/>
        <w:rPr>
          <w:rFonts w:ascii="Roboto" w:hAnsi="Roboto"/>
          <w:sz w:val="20"/>
          <w:szCs w:val="20"/>
          <w:lang w:val="en-US"/>
        </w:rPr>
      </w:pPr>
      <w:r w:rsidRPr="007E7ACA">
        <w:rPr>
          <w:rFonts w:ascii="Roboto" w:hAnsi="Roboto"/>
          <w:sz w:val="20"/>
          <w:szCs w:val="20"/>
          <w:lang w:val="en-US"/>
        </w:rPr>
        <w:t xml:space="preserve">International Diabetes Federation (IDF). (2021). </w:t>
      </w:r>
      <w:r w:rsidRPr="007E7ACA">
        <w:rPr>
          <w:rFonts w:ascii="Roboto" w:hAnsi="Roboto"/>
          <w:i/>
          <w:iCs/>
          <w:sz w:val="20"/>
          <w:szCs w:val="20"/>
          <w:lang w:val="en-US"/>
        </w:rPr>
        <w:t>IDF Diabetes Atlas</w:t>
      </w:r>
      <w:r w:rsidRPr="007E7ACA">
        <w:rPr>
          <w:rFonts w:ascii="Roboto" w:hAnsi="Roboto"/>
          <w:sz w:val="20"/>
          <w:szCs w:val="20"/>
          <w:lang w:val="en-US"/>
        </w:rPr>
        <w:t xml:space="preserve"> (10th ed.). International Diabetes Federation.</w:t>
      </w:r>
    </w:p>
    <w:p w14:paraId="409296C0" w14:textId="5C3C7051" w:rsidR="00433437" w:rsidRPr="00092DAD" w:rsidRDefault="00433437" w:rsidP="00092DAD">
      <w:pPr>
        <w:pStyle w:val="Prrafodelista"/>
        <w:numPr>
          <w:ilvl w:val="0"/>
          <w:numId w:val="1"/>
        </w:numPr>
        <w:spacing w:before="100" w:beforeAutospacing="1" w:after="100" w:afterAutospacing="1"/>
        <w:jc w:val="both"/>
        <w:rPr>
          <w:rFonts w:ascii="Roboto" w:hAnsi="Roboto"/>
          <w:sz w:val="20"/>
          <w:szCs w:val="20"/>
          <w:lang w:val="en-US"/>
        </w:rPr>
      </w:pPr>
      <w:r w:rsidRPr="008D2BB1">
        <w:rPr>
          <w:rFonts w:ascii="Roboto" w:hAnsi="Roboto"/>
          <w:sz w:val="20"/>
          <w:szCs w:val="20"/>
        </w:rPr>
        <w:t xml:space="preserve">Romo-Araiza, A., &amp; Ibarra, A. (2020). </w:t>
      </w:r>
      <w:r w:rsidRPr="00092DAD">
        <w:rPr>
          <w:rFonts w:ascii="Roboto" w:hAnsi="Roboto"/>
          <w:sz w:val="20"/>
          <w:szCs w:val="20"/>
          <w:lang w:val="en-US"/>
        </w:rPr>
        <w:t xml:space="preserve">Prebiotics and probiotics as potential therapy for cognitive impairment. </w:t>
      </w:r>
      <w:r w:rsidRPr="00092DAD">
        <w:rPr>
          <w:rFonts w:ascii="Roboto" w:hAnsi="Roboto"/>
          <w:i/>
          <w:iCs/>
          <w:sz w:val="20"/>
          <w:szCs w:val="20"/>
          <w:lang w:val="en-US"/>
        </w:rPr>
        <w:t>Medical Hypotheses, 134</w:t>
      </w:r>
      <w:r w:rsidRPr="00092DAD">
        <w:rPr>
          <w:rFonts w:ascii="Roboto" w:hAnsi="Roboto"/>
          <w:sz w:val="20"/>
          <w:szCs w:val="20"/>
          <w:lang w:val="en-US"/>
        </w:rPr>
        <w:t xml:space="preserve">, 109410. </w:t>
      </w:r>
      <w:hyperlink r:id="rId11" w:tgtFrame="_new" w:history="1">
        <w:r w:rsidRPr="00092DAD">
          <w:rPr>
            <w:rFonts w:ascii="Roboto" w:hAnsi="Roboto"/>
            <w:color w:val="0000FF"/>
            <w:sz w:val="20"/>
            <w:szCs w:val="20"/>
            <w:u w:val="single"/>
            <w:lang w:val="en-US"/>
          </w:rPr>
          <w:t>https://doi.org/10.1016/j.mehy.2019.109410</w:t>
        </w:r>
      </w:hyperlink>
    </w:p>
    <w:p w14:paraId="52AE0DEE" w14:textId="32DA6ADC" w:rsidR="00433437" w:rsidRPr="00092DAD" w:rsidRDefault="00433437" w:rsidP="00092DAD">
      <w:pPr>
        <w:pStyle w:val="Prrafodelista"/>
        <w:numPr>
          <w:ilvl w:val="0"/>
          <w:numId w:val="1"/>
        </w:numPr>
        <w:spacing w:before="100" w:beforeAutospacing="1" w:after="100" w:afterAutospacing="1"/>
        <w:jc w:val="both"/>
        <w:rPr>
          <w:rFonts w:ascii="Roboto" w:hAnsi="Roboto"/>
          <w:sz w:val="20"/>
          <w:szCs w:val="20"/>
        </w:rPr>
      </w:pPr>
      <w:r w:rsidRPr="00092DAD">
        <w:rPr>
          <w:rFonts w:ascii="Roboto" w:hAnsi="Roboto"/>
          <w:sz w:val="20"/>
          <w:szCs w:val="20"/>
          <w:lang w:val="en-US"/>
        </w:rPr>
        <w:t xml:space="preserve">World Health Organization. (2019). </w:t>
      </w:r>
      <w:r w:rsidRPr="00092DAD">
        <w:rPr>
          <w:rFonts w:ascii="Roboto" w:hAnsi="Roboto"/>
          <w:i/>
          <w:iCs/>
          <w:sz w:val="20"/>
          <w:szCs w:val="20"/>
          <w:lang w:val="en-US"/>
        </w:rPr>
        <w:t>Risk reduction of cognitive decline and dementia: WHO guidelines</w:t>
      </w:r>
      <w:r w:rsidRPr="00092DAD">
        <w:rPr>
          <w:rFonts w:ascii="Roboto" w:hAnsi="Roboto"/>
          <w:sz w:val="20"/>
          <w:szCs w:val="20"/>
          <w:lang w:val="en-US"/>
        </w:rPr>
        <w:t xml:space="preserve">. </w:t>
      </w:r>
      <w:r w:rsidRPr="00092DAD">
        <w:rPr>
          <w:rFonts w:ascii="Roboto" w:hAnsi="Roboto"/>
          <w:sz w:val="20"/>
          <w:szCs w:val="20"/>
        </w:rPr>
        <w:t>World Health Organization.</w:t>
      </w:r>
    </w:p>
    <w:p w14:paraId="23D70DF3" w14:textId="7D8362FF" w:rsidR="00304AEE" w:rsidRDefault="00304AEE" w:rsidP="00433437">
      <w:pPr>
        <w:jc w:val="both"/>
        <w:rPr>
          <w:rFonts w:ascii="Roboto" w:eastAsia="Roboto" w:hAnsi="Roboto" w:cs="Roboto"/>
        </w:rPr>
      </w:pPr>
    </w:p>
    <w:sectPr w:rsidR="00304AEE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05B6A" w14:textId="77777777" w:rsidR="004436D2" w:rsidRDefault="004436D2">
      <w:r>
        <w:separator/>
      </w:r>
    </w:p>
  </w:endnote>
  <w:endnote w:type="continuationSeparator" w:id="0">
    <w:p w14:paraId="0AD952D5" w14:textId="77777777" w:rsidR="004436D2" w:rsidRDefault="00443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60B9A" w14:textId="77777777" w:rsidR="004436D2" w:rsidRDefault="004436D2">
      <w:r>
        <w:separator/>
      </w:r>
    </w:p>
  </w:footnote>
  <w:footnote w:type="continuationSeparator" w:id="0">
    <w:p w14:paraId="1340B1DE" w14:textId="77777777" w:rsidR="004436D2" w:rsidRDefault="00443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5BA61" w14:textId="77777777" w:rsidR="00304AEE" w:rsidRDefault="00304AE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304AEE" w14:paraId="2F9E6B7A" w14:textId="77777777">
      <w:trPr>
        <w:trHeight w:val="345"/>
        <w:jc w:val="center"/>
      </w:trPr>
      <w:tc>
        <w:tcPr>
          <w:tcW w:w="6306" w:type="dxa"/>
          <w:vAlign w:val="center"/>
        </w:tcPr>
        <w:p w14:paraId="788C0B67" w14:textId="77777777" w:rsidR="00304AEE" w:rsidRDefault="00304AEE">
          <w:pPr>
            <w:jc w:val="center"/>
            <w:rPr>
              <w:i/>
              <w:sz w:val="18"/>
              <w:szCs w:val="18"/>
            </w:rPr>
          </w:pPr>
        </w:p>
      </w:tc>
    </w:tr>
  </w:tbl>
  <w:p w14:paraId="6B8DE0F0" w14:textId="77777777" w:rsidR="00304AEE" w:rsidRDefault="00304AE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C940FE"/>
    <w:multiLevelType w:val="hybridMultilevel"/>
    <w:tmpl w:val="0784913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4AEE"/>
    <w:rsid w:val="00014253"/>
    <w:rsid w:val="00031656"/>
    <w:rsid w:val="000703FA"/>
    <w:rsid w:val="00092DAD"/>
    <w:rsid w:val="000A1B6C"/>
    <w:rsid w:val="000D1474"/>
    <w:rsid w:val="000D5D74"/>
    <w:rsid w:val="00132191"/>
    <w:rsid w:val="00133AD4"/>
    <w:rsid w:val="002254B9"/>
    <w:rsid w:val="00255244"/>
    <w:rsid w:val="00277E53"/>
    <w:rsid w:val="002D5D4E"/>
    <w:rsid w:val="003018C9"/>
    <w:rsid w:val="00304AEE"/>
    <w:rsid w:val="003B4590"/>
    <w:rsid w:val="003E36E8"/>
    <w:rsid w:val="00433437"/>
    <w:rsid w:val="004436D2"/>
    <w:rsid w:val="0044779A"/>
    <w:rsid w:val="004809B0"/>
    <w:rsid w:val="004E269B"/>
    <w:rsid w:val="004E542D"/>
    <w:rsid w:val="004F2232"/>
    <w:rsid w:val="00534ACB"/>
    <w:rsid w:val="0058092A"/>
    <w:rsid w:val="005915F4"/>
    <w:rsid w:val="005B760B"/>
    <w:rsid w:val="006C4997"/>
    <w:rsid w:val="00712387"/>
    <w:rsid w:val="00731D5D"/>
    <w:rsid w:val="00735046"/>
    <w:rsid w:val="00737EEC"/>
    <w:rsid w:val="00741F9B"/>
    <w:rsid w:val="00764BAD"/>
    <w:rsid w:val="007B1A88"/>
    <w:rsid w:val="007E7ACA"/>
    <w:rsid w:val="0082626E"/>
    <w:rsid w:val="008B0676"/>
    <w:rsid w:val="008B64AF"/>
    <w:rsid w:val="008D2BB1"/>
    <w:rsid w:val="009478B1"/>
    <w:rsid w:val="009A3469"/>
    <w:rsid w:val="009E30A0"/>
    <w:rsid w:val="009F4522"/>
    <w:rsid w:val="00A86106"/>
    <w:rsid w:val="00AF6605"/>
    <w:rsid w:val="00B508D9"/>
    <w:rsid w:val="00B82CA5"/>
    <w:rsid w:val="00BA39C0"/>
    <w:rsid w:val="00BB2149"/>
    <w:rsid w:val="00BE1145"/>
    <w:rsid w:val="00C746E8"/>
    <w:rsid w:val="00C74B6A"/>
    <w:rsid w:val="00C86E1E"/>
    <w:rsid w:val="00CB421F"/>
    <w:rsid w:val="00CC4753"/>
    <w:rsid w:val="00D42E94"/>
    <w:rsid w:val="00D45E68"/>
    <w:rsid w:val="00E7090A"/>
    <w:rsid w:val="00E81781"/>
    <w:rsid w:val="00EA024C"/>
    <w:rsid w:val="00F42A87"/>
    <w:rsid w:val="00F56B8B"/>
    <w:rsid w:val="00FB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0FF82"/>
  <w15:docId w15:val="{D9B9D165-B510-4A9B-8E8D-CC6CD1309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7E7ACA"/>
    <w:pPr>
      <w:ind w:left="720"/>
      <w:contextualSpacing/>
    </w:pPr>
  </w:style>
  <w:style w:type="character" w:styleId="nfasis">
    <w:name w:val="Emphasis"/>
    <w:basedOn w:val="Fuentedeprrafopredeter"/>
    <w:uiPriority w:val="20"/>
    <w:qFormat/>
    <w:rsid w:val="00F56B8B"/>
    <w:rPr>
      <w:i/>
      <w:iCs/>
    </w:rPr>
  </w:style>
  <w:style w:type="character" w:styleId="Textoennegrita">
    <w:name w:val="Strong"/>
    <w:basedOn w:val="Fuentedeprrafopredeter"/>
    <w:uiPriority w:val="22"/>
    <w:qFormat/>
    <w:rsid w:val="00E7090A"/>
    <w:rPr>
      <w:b/>
      <w:bCs/>
    </w:rPr>
  </w:style>
  <w:style w:type="paragraph" w:styleId="NormalWeb">
    <w:name w:val="Normal (Web)"/>
    <w:basedOn w:val="Normal"/>
    <w:uiPriority w:val="99"/>
    <w:unhideWhenUsed/>
    <w:rsid w:val="000A1B6C"/>
    <w:pPr>
      <w:spacing w:before="100" w:beforeAutospacing="1" w:after="100" w:afterAutospacing="1"/>
    </w:pPr>
  </w:style>
  <w:style w:type="character" w:styleId="Refdecomentario">
    <w:name w:val="annotation reference"/>
    <w:basedOn w:val="Fuentedeprrafopredeter"/>
    <w:uiPriority w:val="99"/>
    <w:semiHidden/>
    <w:unhideWhenUsed/>
    <w:rsid w:val="00764BAD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64BA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64BAD"/>
    <w:rPr>
      <w:rFonts w:ascii="Times New Roman" w:eastAsia="Times New Roman" w:hAnsi="Times New Roman" w:cs="Times New Roman"/>
      <w:b/>
      <w:bCs/>
      <w:sz w:val="20"/>
      <w:szCs w:val="20"/>
      <w:lang w:val="tr-TR"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6/j.mehy.2019.109410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tif"/><Relationship Id="rId4" Type="http://schemas.openxmlformats.org/officeDocument/2006/relationships/settings" Target="settings.xml"/><Relationship Id="rId9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928</Words>
  <Characters>5107</Characters>
  <Application>Microsoft Office Word</Application>
  <DocSecurity>0</DocSecurity>
  <Lines>42</Lines>
  <Paragraphs>12</Paragraphs>
  <ScaleCrop>false</ScaleCrop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José Juan Antonio Ibarra Arias</cp:lastModifiedBy>
  <cp:revision>2</cp:revision>
  <dcterms:created xsi:type="dcterms:W3CDTF">2026-02-26T19:08:00Z</dcterms:created>
  <dcterms:modified xsi:type="dcterms:W3CDTF">2026-02-26T19:08:00Z</dcterms:modified>
</cp:coreProperties>
</file>