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1818B" w14:textId="27120504" w:rsidR="005B12EE" w:rsidRDefault="005B12EE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</w:rPr>
      </w:pPr>
      <w:r w:rsidRPr="005B12EE">
        <w:rPr>
          <w:rFonts w:ascii="Roboto" w:eastAsia="Roboto" w:hAnsi="Roboto" w:cs="Roboto"/>
          <w:b/>
          <w:color w:val="000000"/>
        </w:rPr>
        <w:t>Evaluación de síntomas climatéricos mediante la escala de Greene tras la intervención con probióticos en perimenopausia</w:t>
      </w:r>
    </w:p>
    <w:p w14:paraId="6D847760" w14:textId="1BB3E960" w:rsidR="00F577EC" w:rsidRDefault="005B12EE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>Lozano-Herrera S.J.</w:t>
      </w:r>
      <w:r>
        <w:rPr>
          <w:rFonts w:ascii="Roboto" w:eastAsia="Roboto" w:hAnsi="Roboto" w:cs="Roboto"/>
          <w:b/>
          <w:color w:val="000000"/>
          <w:sz w:val="20"/>
          <w:szCs w:val="20"/>
          <w:vertAlign w:val="superscript"/>
        </w:rPr>
        <w:t xml:space="preserve"> 1</w:t>
      </w:r>
    </w:p>
    <w:p w14:paraId="0DE48C19" w14:textId="5E7C1E76" w:rsidR="00F577EC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5B12EE">
        <w:rPr>
          <w:rFonts w:ascii="Roboto" w:eastAsia="Roboto" w:hAnsi="Roboto" w:cs="Roboto"/>
          <w:color w:val="000000"/>
          <w:sz w:val="18"/>
          <w:szCs w:val="18"/>
        </w:rPr>
        <w:t>Universidad Anáhuac, Querétaro</w:t>
      </w:r>
      <w:r>
        <w:rPr>
          <w:rFonts w:ascii="Roboto" w:eastAsia="Roboto" w:hAnsi="Roboto" w:cs="Roboto"/>
          <w:color w:val="000000"/>
          <w:sz w:val="18"/>
          <w:szCs w:val="18"/>
        </w:rPr>
        <w:t xml:space="preserve">, </w:t>
      </w:r>
      <w:r w:rsidR="005B12EE">
        <w:rPr>
          <w:rFonts w:ascii="Roboto" w:eastAsia="Roboto" w:hAnsi="Roboto" w:cs="Roboto"/>
          <w:color w:val="000000"/>
          <w:sz w:val="18"/>
          <w:szCs w:val="18"/>
        </w:rPr>
        <w:t xml:space="preserve">ORCID </w:t>
      </w:r>
      <w:r w:rsidR="005B12EE" w:rsidRPr="005B12EE">
        <w:rPr>
          <w:rFonts w:ascii="Roboto" w:eastAsia="Roboto" w:hAnsi="Roboto" w:cs="Roboto"/>
          <w:color w:val="000000"/>
          <w:sz w:val="18"/>
          <w:szCs w:val="18"/>
        </w:rPr>
        <w:t>0000-0002-4406-3463</w:t>
      </w:r>
    </w:p>
    <w:p w14:paraId="79F508AF" w14:textId="6E9A4A88" w:rsidR="00F577EC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</w:rPr>
        <w:t>*Autor de correspondencia (</w:t>
      </w:r>
      <w:r w:rsidR="005B12EE">
        <w:rPr>
          <w:rFonts w:ascii="Roboto" w:eastAsia="Roboto" w:hAnsi="Roboto" w:cs="Roboto"/>
          <w:sz w:val="18"/>
          <w:szCs w:val="18"/>
        </w:rPr>
        <w:t>sara.lozano@anahuac.mx)</w:t>
      </w:r>
    </w:p>
    <w:p w14:paraId="485B2B38" w14:textId="77777777" w:rsidR="00F577EC" w:rsidRDefault="00E335D7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F577EC">
          <w:headerReference w:type="default" r:id="rId7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rPr>
          <w:noProof/>
        </w:rPr>
        <w:pict w14:anchorId="182CB19F">
          <v:rect id="_x0000_i1025" alt="" style="width:441.9pt;height:.05pt;mso-width-percent:0;mso-height-percent:0;mso-width-percent:0;mso-height-percent:0" o:hralign="center" o:hrstd="t" o:hr="t" fillcolor="#a0a0a0" stroked="f"/>
        </w:pict>
      </w:r>
    </w:p>
    <w:p w14:paraId="6C95D0BE" w14:textId="32FB7CBC" w:rsidR="00F577EC" w:rsidRDefault="005B12EE">
      <w:pPr>
        <w:pBdr>
          <w:top w:val="nil"/>
          <w:left w:val="nil"/>
          <w:bottom w:val="nil"/>
          <w:right w:val="nil"/>
          <w:between w:val="nil"/>
        </w:pBdr>
        <w:spacing w:before="60"/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INTRODUCCIÓN </w:t>
      </w:r>
    </w:p>
    <w:p w14:paraId="65CDAA51" w14:textId="0ED0A69C" w:rsidR="005B12EE" w:rsidRDefault="005B12E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5B12EE">
        <w:rPr>
          <w:rFonts w:ascii="Roboto" w:eastAsia="Roboto" w:hAnsi="Roboto" w:cs="Roboto"/>
          <w:color w:val="000000"/>
          <w:sz w:val="20"/>
          <w:szCs w:val="20"/>
        </w:rPr>
        <w:t>La perimenopausia, es la etapa de transición del cese permanente de la menstruación ocasionado por la pérdida de la actividad folicular ovárica, suele ocurrir entre los 45 y 56 años de edad</w:t>
      </w:r>
      <w:r w:rsidR="003B21D8"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Pr="005B12EE">
        <w:rPr>
          <w:rFonts w:ascii="Roboto" w:eastAsia="Roboto" w:hAnsi="Roboto" w:cs="Roboto"/>
          <w:color w:val="000000"/>
          <w:sz w:val="20"/>
          <w:szCs w:val="20"/>
        </w:rPr>
        <w:t>(1,2). Se caracteriza por la presencia de síntomas vasomotores en al menos 50-75% de las mujeres y más del 50% presenta síntomas genitourinarios; algunos otros síntomas son alteraciones del estado de ánimo, insomnio y otros que reducen la calidad de vida de las mujeres afectadas</w:t>
      </w:r>
      <w:r w:rsidR="003B21D8">
        <w:rPr>
          <w:rFonts w:ascii="Roboto" w:eastAsia="Roboto" w:hAnsi="Roboto" w:cs="Roboto"/>
          <w:color w:val="000000"/>
          <w:sz w:val="20"/>
          <w:szCs w:val="20"/>
        </w:rPr>
        <w:t xml:space="preserve">, dicha sintomatología se encuentra vincuada a la dismunución de </w:t>
      </w:r>
      <w:r w:rsidR="003B21D8" w:rsidRPr="005B12EE">
        <w:rPr>
          <w:rFonts w:ascii="Roboto" w:eastAsia="Roboto" w:hAnsi="Roboto" w:cs="Roboto"/>
          <w:color w:val="000000"/>
          <w:sz w:val="20"/>
          <w:szCs w:val="20"/>
        </w:rPr>
        <w:t>la síntesis de estradiol (17β-estradiol)</w:t>
      </w:r>
      <w:r w:rsidR="003B21D8">
        <w:rPr>
          <w:rFonts w:ascii="Roboto" w:eastAsia="Roboto" w:hAnsi="Roboto" w:cs="Roboto"/>
          <w:color w:val="000000"/>
          <w:sz w:val="20"/>
          <w:szCs w:val="20"/>
        </w:rPr>
        <w:t xml:space="preserve">     </w:t>
      </w:r>
      <w:r w:rsidRPr="005B12EE">
        <w:rPr>
          <w:rFonts w:ascii="Roboto" w:eastAsia="Roboto" w:hAnsi="Roboto" w:cs="Roboto"/>
          <w:color w:val="000000"/>
          <w:sz w:val="20"/>
          <w:szCs w:val="20"/>
        </w:rPr>
        <w:t>(1,2,3). Los estudios poblacionales longitudinales han demostrado que los factores étnicos, geográficos e individuales afectan la prevalencia y gravedad de los síntomas</w:t>
      </w:r>
      <w:r w:rsidR="003B21D8">
        <w:rPr>
          <w:rFonts w:ascii="Roboto" w:eastAsia="Roboto" w:hAnsi="Roboto" w:cs="Roboto"/>
          <w:color w:val="000000"/>
          <w:sz w:val="20"/>
          <w:szCs w:val="20"/>
        </w:rPr>
        <w:t xml:space="preserve"> y se ha </w:t>
      </w:r>
      <w:r w:rsidRPr="005B12EE">
        <w:rPr>
          <w:rFonts w:ascii="Roboto" w:eastAsia="Roboto" w:hAnsi="Roboto" w:cs="Roboto"/>
          <w:color w:val="000000"/>
          <w:sz w:val="20"/>
          <w:szCs w:val="20"/>
        </w:rPr>
        <w:t>destacado el papel de la microbiota intestinal en la modulación de los niveles de estrógeno, lo que podría ser una estrategia para manejar los síntomas perimenopáusicos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(</w:t>
      </w:r>
      <w:r w:rsidR="00F10A9E">
        <w:rPr>
          <w:rFonts w:ascii="Roboto" w:eastAsia="Roboto" w:hAnsi="Roboto" w:cs="Roboto"/>
          <w:color w:val="000000"/>
          <w:sz w:val="20"/>
          <w:szCs w:val="20"/>
        </w:rPr>
        <w:t>2</w:t>
      </w:r>
      <w:r w:rsidR="003B21D8">
        <w:rPr>
          <w:rFonts w:ascii="Roboto" w:eastAsia="Roboto" w:hAnsi="Roboto" w:cs="Roboto"/>
          <w:color w:val="000000"/>
          <w:sz w:val="20"/>
          <w:szCs w:val="20"/>
        </w:rPr>
        <w:t>,4</w:t>
      </w:r>
      <w:r>
        <w:rPr>
          <w:rFonts w:ascii="Roboto" w:eastAsia="Roboto" w:hAnsi="Roboto" w:cs="Roboto"/>
          <w:color w:val="000000"/>
          <w:sz w:val="20"/>
          <w:szCs w:val="20"/>
        </w:rPr>
        <w:t>).</w:t>
      </w:r>
    </w:p>
    <w:p w14:paraId="2B333FED" w14:textId="77777777" w:rsidR="00F577EC" w:rsidRDefault="00F577E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682843DB" w14:textId="6BFC5148" w:rsidR="00F577EC" w:rsidRDefault="007958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OBJETIVO </w:t>
      </w:r>
    </w:p>
    <w:p w14:paraId="452ADB0C" w14:textId="0A8297F5" w:rsidR="00F577EC" w:rsidRDefault="003B21D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3B21D8">
        <w:rPr>
          <w:rFonts w:ascii="Roboto" w:eastAsia="Roboto" w:hAnsi="Roboto" w:cs="Roboto"/>
          <w:color w:val="000000"/>
          <w:sz w:val="20"/>
          <w:szCs w:val="20"/>
        </w:rPr>
        <w:t xml:space="preserve">Evaluar el efecto de la suplementación con probióticos sobre la sintomatología climatérica en mujeres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en </w:t>
      </w:r>
      <w:r w:rsidRPr="003B21D8">
        <w:rPr>
          <w:rFonts w:ascii="Roboto" w:eastAsia="Roboto" w:hAnsi="Roboto" w:cs="Roboto"/>
          <w:color w:val="000000"/>
          <w:sz w:val="20"/>
          <w:szCs w:val="20"/>
        </w:rPr>
        <w:t>perimeno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pausia </w:t>
      </w:r>
      <w:r w:rsidRPr="003B21D8">
        <w:rPr>
          <w:rFonts w:ascii="Roboto" w:eastAsia="Roboto" w:hAnsi="Roboto" w:cs="Roboto"/>
          <w:color w:val="000000"/>
          <w:sz w:val="20"/>
          <w:szCs w:val="20"/>
        </w:rPr>
        <w:t xml:space="preserve">analizando su relación con el </w:t>
      </w:r>
      <w:r>
        <w:rPr>
          <w:rFonts w:ascii="Roboto" w:eastAsia="Roboto" w:hAnsi="Roboto" w:cs="Roboto"/>
          <w:color w:val="000000"/>
          <w:sz w:val="20"/>
          <w:szCs w:val="20"/>
        </w:rPr>
        <w:t>bacterias</w:t>
      </w:r>
      <w:r w:rsidRPr="003B21D8">
        <w:rPr>
          <w:rFonts w:ascii="Roboto" w:eastAsia="Roboto" w:hAnsi="Roboto" w:cs="Roboto"/>
          <w:color w:val="000000"/>
          <w:sz w:val="20"/>
          <w:szCs w:val="20"/>
        </w:rPr>
        <w:t xml:space="preserve"> colónica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s específicas </w:t>
      </w:r>
      <w:r w:rsidRPr="003B21D8">
        <w:rPr>
          <w:rFonts w:ascii="Roboto" w:eastAsia="Roboto" w:hAnsi="Roboto" w:cs="Roboto"/>
          <w:color w:val="000000"/>
          <w:sz w:val="20"/>
          <w:szCs w:val="20"/>
        </w:rPr>
        <w:t>y la modulación de los niveles estrogénicos.</w:t>
      </w:r>
    </w:p>
    <w:p w14:paraId="72B7962D" w14:textId="77777777" w:rsidR="003B21D8" w:rsidRDefault="003B21D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</w:p>
    <w:p w14:paraId="18223833" w14:textId="6C68FE54" w:rsidR="00F577EC" w:rsidRDefault="0079583F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METODOLOGÍA </w:t>
      </w:r>
    </w:p>
    <w:p w14:paraId="404FD0A7" w14:textId="38E75362" w:rsidR="00F10A9E" w:rsidRDefault="00F10A9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>
        <w:rPr>
          <w:rFonts w:ascii="Roboto" w:eastAsia="Roboto" w:hAnsi="Roboto" w:cs="Roboto"/>
          <w:color w:val="000000"/>
          <w:sz w:val="20"/>
          <w:szCs w:val="20"/>
        </w:rPr>
        <w:t>S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 xml:space="preserve">e realizó un </w:t>
      </w:r>
      <w:r>
        <w:rPr>
          <w:rFonts w:ascii="Roboto" w:eastAsia="Roboto" w:hAnsi="Roboto" w:cs="Roboto"/>
          <w:color w:val="000000"/>
          <w:sz w:val="20"/>
          <w:szCs w:val="20"/>
        </w:rPr>
        <w:t>protocolo de un solo brazo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 xml:space="preserve"> pre-post en el que cada participante sirvió como su propio control. Se seleccionó un total de 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13 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>mujeres entre 50 y 55 años sin problemas médicos. Durante 12 semanas, l</w:t>
      </w:r>
      <w:r w:rsidR="003B21D8">
        <w:rPr>
          <w:rFonts w:ascii="Roboto" w:eastAsia="Roboto" w:hAnsi="Roboto" w:cs="Roboto"/>
          <w:color w:val="000000"/>
          <w:sz w:val="20"/>
          <w:szCs w:val="20"/>
        </w:rPr>
        <w:t>a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 xml:space="preserve">s participantes recibieron una dosis diaria de los probióticos </w:t>
      </w:r>
      <w:r w:rsidR="003B21D8" w:rsidRPr="0079583F">
        <w:rPr>
          <w:rFonts w:ascii="Roboto" w:eastAsia="Roboto" w:hAnsi="Roboto" w:cs="Roboto"/>
          <w:color w:val="000000"/>
          <w:sz w:val="20"/>
          <w:szCs w:val="20"/>
        </w:rPr>
        <w:t xml:space="preserve">(109 UFC/día de </w:t>
      </w:r>
      <w:r w:rsidR="003B21D8" w:rsidRPr="00F10A9E">
        <w:rPr>
          <w:rFonts w:ascii="Roboto" w:eastAsia="Roboto" w:hAnsi="Roboto" w:cs="Roboto"/>
          <w:i/>
          <w:iCs/>
          <w:color w:val="000000"/>
          <w:sz w:val="20"/>
          <w:szCs w:val="20"/>
        </w:rPr>
        <w:t>Lactobacillus acidophilus, Lactobacillus rhamnosus</w:t>
      </w:r>
      <w:r w:rsidR="003B21D8" w:rsidRPr="00F10A9E">
        <w:rPr>
          <w:rFonts w:ascii="Roboto" w:eastAsia="Roboto" w:hAnsi="Roboto" w:cs="Roboto"/>
          <w:color w:val="000000"/>
          <w:sz w:val="20"/>
          <w:szCs w:val="20"/>
        </w:rPr>
        <w:t xml:space="preserve"> y</w:t>
      </w:r>
      <w:r w:rsidR="003B21D8" w:rsidRPr="00F10A9E">
        <w:rPr>
          <w:rFonts w:ascii="Roboto" w:eastAsia="Roboto" w:hAnsi="Roboto" w:cs="Roboto"/>
          <w:i/>
          <w:iCs/>
          <w:color w:val="000000"/>
          <w:sz w:val="20"/>
          <w:szCs w:val="20"/>
        </w:rPr>
        <w:t xml:space="preserve"> Bifidobacterium longum</w:t>
      </w:r>
      <w:r w:rsidR="003B21D8" w:rsidRPr="0079583F">
        <w:rPr>
          <w:rFonts w:ascii="Roboto" w:eastAsia="Roboto" w:hAnsi="Roboto" w:cs="Roboto"/>
          <w:color w:val="000000"/>
          <w:sz w:val="20"/>
          <w:szCs w:val="20"/>
        </w:rPr>
        <w:t>)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 xml:space="preserve"> y completaron cuestionarios sobre síntomas mediante la escala </w:t>
      </w:r>
      <w:r>
        <w:rPr>
          <w:rFonts w:ascii="Roboto" w:eastAsia="Roboto" w:hAnsi="Roboto" w:cs="Roboto"/>
          <w:color w:val="000000"/>
          <w:sz w:val="20"/>
          <w:szCs w:val="20"/>
        </w:rPr>
        <w:t>climatérica de Greene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>. Se determinaron</w:t>
      </w:r>
      <w:r>
        <w:rPr>
          <w:rFonts w:ascii="Roboto" w:eastAsia="Roboto" w:hAnsi="Roboto" w:cs="Roboto"/>
          <w:color w:val="000000"/>
          <w:sz w:val="20"/>
          <w:szCs w:val="20"/>
        </w:rPr>
        <w:t xml:space="preserve"> 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 xml:space="preserve">los niveles </w:t>
      </w:r>
      <w:r w:rsidR="00BD1D3F">
        <w:rPr>
          <w:rFonts w:ascii="Roboto" w:eastAsia="Roboto" w:hAnsi="Roboto" w:cs="Roboto"/>
          <w:color w:val="000000"/>
          <w:sz w:val="20"/>
          <w:szCs w:val="20"/>
        </w:rPr>
        <w:t xml:space="preserve">estrogénicos 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 xml:space="preserve"> mediante kits ELISA y se examinó </w:t>
      </w:r>
      <w:r w:rsidR="00BD1D3F" w:rsidRPr="00BD1D3F">
        <w:rPr>
          <w:rFonts w:ascii="Roboto" w:eastAsia="Roboto" w:hAnsi="Roboto" w:cs="Roboto"/>
          <w:i/>
          <w:iCs/>
          <w:color w:val="000000"/>
          <w:sz w:val="20"/>
          <w:szCs w:val="20"/>
        </w:rPr>
        <w:t xml:space="preserve">Lactobacillus </w:t>
      </w:r>
      <w:r w:rsidR="00BD1D3F" w:rsidRPr="00BD1D3F">
        <w:rPr>
          <w:rFonts w:ascii="Roboto" w:eastAsia="Roboto" w:hAnsi="Roboto" w:cs="Roboto"/>
          <w:color w:val="000000"/>
          <w:sz w:val="20"/>
          <w:szCs w:val="20"/>
        </w:rPr>
        <w:t>y</w:t>
      </w:r>
      <w:r w:rsidR="00BD1D3F" w:rsidRPr="00BD1D3F">
        <w:rPr>
          <w:rFonts w:ascii="Roboto" w:eastAsia="Roboto" w:hAnsi="Roboto" w:cs="Roboto"/>
          <w:i/>
          <w:iCs/>
          <w:color w:val="000000"/>
          <w:sz w:val="20"/>
          <w:szCs w:val="20"/>
        </w:rPr>
        <w:t xml:space="preserve"> Bifidobacterium </w:t>
      </w:r>
      <w:r w:rsidR="0079583F" w:rsidRPr="00BD1D3F">
        <w:rPr>
          <w:rFonts w:ascii="Roboto" w:eastAsia="Roboto" w:hAnsi="Roboto" w:cs="Roboto"/>
          <w:i/>
          <w:iCs/>
          <w:color w:val="000000"/>
          <w:sz w:val="20"/>
          <w:szCs w:val="20"/>
        </w:rPr>
        <w:t xml:space="preserve"> 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 xml:space="preserve">mediante </w:t>
      </w:r>
      <w:r w:rsidR="003B21D8">
        <w:rPr>
          <w:rFonts w:ascii="Roboto" w:eastAsia="Roboto" w:hAnsi="Roboto" w:cs="Roboto"/>
          <w:color w:val="000000"/>
          <w:sz w:val="20"/>
          <w:szCs w:val="20"/>
        </w:rPr>
        <w:t>q</w:t>
      </w:r>
      <w:r w:rsidR="0079583F" w:rsidRPr="0079583F">
        <w:rPr>
          <w:rFonts w:ascii="Roboto" w:eastAsia="Roboto" w:hAnsi="Roboto" w:cs="Roboto"/>
          <w:color w:val="000000"/>
          <w:sz w:val="20"/>
          <w:szCs w:val="20"/>
        </w:rPr>
        <w:t>PCR en muestras de heces antes y después del tratamiento.</w:t>
      </w:r>
    </w:p>
    <w:p w14:paraId="495DA5C8" w14:textId="77777777" w:rsidR="00F577EC" w:rsidRDefault="00F577E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28ADC90B" w14:textId="1355968A" w:rsidR="00F577EC" w:rsidRDefault="00F10A9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b/>
          <w:color w:val="000000"/>
          <w:sz w:val="20"/>
          <w:szCs w:val="20"/>
        </w:rPr>
      </w:pPr>
      <w:r>
        <w:rPr>
          <w:rFonts w:ascii="Roboto" w:eastAsia="Roboto" w:hAnsi="Roboto" w:cs="Roboto"/>
          <w:b/>
          <w:color w:val="000000"/>
          <w:sz w:val="20"/>
          <w:szCs w:val="20"/>
        </w:rPr>
        <w:t xml:space="preserve">RESULTADOS </w:t>
      </w:r>
    </w:p>
    <w:p w14:paraId="361FCD26" w14:textId="4271A835" w:rsidR="00F10A9E" w:rsidRDefault="00F10A9E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F10A9E">
        <w:rPr>
          <w:rFonts w:ascii="Roboto" w:eastAsia="Roboto" w:hAnsi="Roboto" w:cs="Roboto"/>
          <w:color w:val="000000"/>
          <w:sz w:val="20"/>
          <w:szCs w:val="20"/>
        </w:rPr>
        <w:t>Los niveles hormonales mostraron un aumento de estrógenos en 8,27 ± 7 pg/ml</w:t>
      </w:r>
      <w:r w:rsidR="00BD1D3F">
        <w:rPr>
          <w:rFonts w:ascii="Roboto" w:eastAsia="Roboto" w:hAnsi="Roboto" w:cs="Roboto"/>
          <w:color w:val="000000"/>
          <w:sz w:val="20"/>
          <w:szCs w:val="20"/>
        </w:rPr>
        <w:t xml:space="preserve">. </w:t>
      </w:r>
      <w:r w:rsidRPr="00F10A9E">
        <w:rPr>
          <w:rFonts w:ascii="Roboto" w:eastAsia="Roboto" w:hAnsi="Roboto" w:cs="Roboto"/>
          <w:color w:val="000000"/>
          <w:sz w:val="20"/>
          <w:szCs w:val="20"/>
        </w:rPr>
        <w:t>En cuanto a la microbiota, Bifidobacterium aumentó 2,76 ± 1,7 veces y Lactobacillus 6,36 ± 3,5 veces tras la suplementación</w:t>
      </w:r>
      <w:r w:rsidR="003B21D8">
        <w:rPr>
          <w:rFonts w:ascii="Roboto" w:eastAsia="Roboto" w:hAnsi="Roboto" w:cs="Roboto"/>
          <w:color w:val="000000"/>
          <w:sz w:val="20"/>
          <w:szCs w:val="20"/>
        </w:rPr>
        <w:t xml:space="preserve"> (Figura1).</w:t>
      </w:r>
    </w:p>
    <w:p w14:paraId="28BC84C3" w14:textId="77777777" w:rsidR="003B21D8" w:rsidRDefault="00BD1D3F" w:rsidP="003B21D8">
      <w:pPr>
        <w:jc w:val="both"/>
        <w:rPr>
          <w:rFonts w:ascii="Roboto" w:eastAsia="Roboto" w:hAnsi="Roboto" w:cs="Roboto"/>
          <w:color w:val="000000"/>
          <w:sz w:val="20"/>
          <w:szCs w:val="20"/>
        </w:rPr>
      </w:pPr>
      <w:r w:rsidRPr="00BD1D3F">
        <w:rPr>
          <w:rFonts w:ascii="Roboto" w:eastAsia="Roboto" w:hAnsi="Roboto" w:cs="Roboto"/>
          <w:color w:val="000000"/>
          <w:sz w:val="20"/>
          <w:szCs w:val="20"/>
        </w:rPr>
        <w:t xml:space="preserve">En cuanto a la sintomatología basal, el 53.8% (n=7) de las participantes presentaba síntomas moderados y el 46.2% (n=6) síntomas graves según la escala de Greene. Tras la intervención con probióticos, se observó una redistribución en la severidad: 4 pacientes (30.7%) transitaron a sintomatología leve, 4 (30.7%) se </w:t>
      </w:r>
      <w:r w:rsidRPr="00BD1D3F">
        <w:rPr>
          <w:rFonts w:ascii="Roboto" w:eastAsia="Roboto" w:hAnsi="Roboto" w:cs="Roboto"/>
          <w:color w:val="000000"/>
          <w:sz w:val="20"/>
          <w:szCs w:val="20"/>
        </w:rPr>
        <w:t>mantuvieron en moderada y 5 (38.6%) permanecieron en la categoría grave.</w:t>
      </w:r>
    </w:p>
    <w:p w14:paraId="235CF4DF" w14:textId="77777777" w:rsidR="003B21D8" w:rsidRDefault="003B21D8" w:rsidP="003B21D8">
      <w:pP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44EC9624" w14:textId="77777777" w:rsidR="003B21D8" w:rsidRDefault="003B21D8" w:rsidP="003B21D8">
      <w:pP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44771B54" w14:textId="59D703E0" w:rsidR="00F577EC" w:rsidRDefault="00F10A9E" w:rsidP="003B21D8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noProof/>
        </w:rPr>
        <w:drawing>
          <wp:inline distT="0" distB="0" distL="0" distR="0" wp14:anchorId="393A5E76" wp14:editId="3CA39039">
            <wp:extent cx="3206314" cy="1876425"/>
            <wp:effectExtent l="0" t="0" r="0" b="3175"/>
            <wp:docPr id="162950927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9509278" name="Imagen 162950927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91500" cy="1926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60455A" w14:textId="440FA730" w:rsidR="00F577EC" w:rsidRDefault="00000000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Figura 1</w:t>
      </w:r>
      <w:r>
        <w:rPr>
          <w:rFonts w:ascii="Roboto" w:eastAsia="Roboto" w:hAnsi="Roboto" w:cs="Roboto"/>
          <w:sz w:val="20"/>
          <w:szCs w:val="20"/>
        </w:rPr>
        <w:t xml:space="preserve">. </w:t>
      </w:r>
      <w:r w:rsidR="002C1CA4">
        <w:rPr>
          <w:rFonts w:ascii="Roboto" w:eastAsia="Roboto" w:hAnsi="Roboto" w:cs="Roboto"/>
          <w:sz w:val="20"/>
          <w:szCs w:val="20"/>
        </w:rPr>
        <w:t>A</w:t>
      </w:r>
      <w:r w:rsidR="00F10A9E">
        <w:rPr>
          <w:rFonts w:ascii="Roboto" w:eastAsia="Roboto" w:hAnsi="Roboto" w:cs="Roboto"/>
          <w:sz w:val="20"/>
          <w:szCs w:val="20"/>
        </w:rPr>
        <w:t>bundancia relativa de</w:t>
      </w:r>
      <w:r w:rsidR="002C1CA4">
        <w:rPr>
          <w:rFonts w:ascii="Roboto" w:eastAsia="Roboto" w:hAnsi="Roboto" w:cs="Roboto"/>
          <w:sz w:val="20"/>
          <w:szCs w:val="20"/>
        </w:rPr>
        <w:t xml:space="preserve"> </w:t>
      </w:r>
      <w:r w:rsidR="00F10A9E" w:rsidRPr="003B21D8">
        <w:rPr>
          <w:rFonts w:ascii="Roboto" w:eastAsia="Roboto" w:hAnsi="Roboto" w:cs="Roboto"/>
          <w:i/>
          <w:iCs/>
          <w:sz w:val="20"/>
          <w:szCs w:val="20"/>
        </w:rPr>
        <w:t>Bifidobacterium</w:t>
      </w:r>
      <w:r w:rsidR="00F10A9E" w:rsidRPr="003B21D8">
        <w:rPr>
          <w:rFonts w:ascii="Roboto" w:eastAsia="Roboto" w:hAnsi="Roboto" w:cs="Roboto"/>
          <w:sz w:val="20"/>
          <w:szCs w:val="20"/>
        </w:rPr>
        <w:t xml:space="preserve"> </w:t>
      </w:r>
      <w:r w:rsidR="002C1CA4" w:rsidRPr="003B21D8">
        <w:rPr>
          <w:rFonts w:ascii="Roboto" w:eastAsia="Roboto" w:hAnsi="Roboto" w:cs="Roboto"/>
          <w:sz w:val="20"/>
          <w:szCs w:val="20"/>
        </w:rPr>
        <w:t>y</w:t>
      </w:r>
      <w:r w:rsidR="00F10A9E" w:rsidRPr="003B21D8">
        <w:rPr>
          <w:rFonts w:ascii="Roboto" w:eastAsia="Roboto" w:hAnsi="Roboto" w:cs="Roboto"/>
          <w:sz w:val="20"/>
          <w:szCs w:val="20"/>
        </w:rPr>
        <w:t xml:space="preserve"> </w:t>
      </w:r>
      <w:r w:rsidR="00F10A9E" w:rsidRPr="003B21D8">
        <w:rPr>
          <w:rFonts w:ascii="Roboto" w:eastAsia="Roboto" w:hAnsi="Roboto" w:cs="Roboto"/>
          <w:i/>
          <w:iCs/>
          <w:sz w:val="20"/>
          <w:szCs w:val="20"/>
        </w:rPr>
        <w:t>Lactobacillus</w:t>
      </w:r>
      <w:r w:rsidR="002C1CA4" w:rsidRPr="003B21D8">
        <w:rPr>
          <w:rFonts w:ascii="Roboto" w:eastAsia="Roboto" w:hAnsi="Roboto" w:cs="Roboto"/>
          <w:i/>
          <w:iCs/>
          <w:sz w:val="20"/>
          <w:szCs w:val="20"/>
        </w:rPr>
        <w:t>.</w:t>
      </w:r>
      <w:r w:rsidR="002C1CA4">
        <w:rPr>
          <w:rFonts w:ascii="Roboto" w:eastAsia="Roboto" w:hAnsi="Roboto" w:cs="Roboto"/>
          <w:sz w:val="20"/>
          <w:szCs w:val="20"/>
        </w:rPr>
        <w:t xml:space="preserve"> Datos normalizados con el gen 16S rRNA. Los datos son expresados como la media </w:t>
      </w:r>
      <w:r w:rsidR="002C1CA4" w:rsidRPr="002C1CA4">
        <w:rPr>
          <w:rFonts w:ascii="Roboto" w:eastAsia="Roboto" w:hAnsi="Roboto" w:cs="Roboto"/>
          <w:sz w:val="20"/>
          <w:szCs w:val="20"/>
        </w:rPr>
        <w:t>± D</w:t>
      </w:r>
      <w:r w:rsidR="002C1CA4">
        <w:rPr>
          <w:rFonts w:ascii="Roboto" w:eastAsia="Roboto" w:hAnsi="Roboto" w:cs="Roboto"/>
          <w:sz w:val="20"/>
          <w:szCs w:val="20"/>
        </w:rPr>
        <w:t>S</w:t>
      </w:r>
      <w:r w:rsidR="002C1CA4" w:rsidRPr="002C1CA4">
        <w:rPr>
          <w:rFonts w:ascii="Roboto" w:eastAsia="Roboto" w:hAnsi="Roboto" w:cs="Roboto"/>
          <w:sz w:val="20"/>
          <w:szCs w:val="20"/>
        </w:rPr>
        <w:t xml:space="preserve"> *</w:t>
      </w:r>
      <w:r w:rsidR="002C1CA4">
        <w:rPr>
          <w:rFonts w:ascii="Roboto" w:eastAsia="Roboto" w:hAnsi="Roboto" w:cs="Roboto"/>
          <w:sz w:val="20"/>
          <w:szCs w:val="20"/>
        </w:rPr>
        <w:t xml:space="preserve">Diferencia estadística empleando t de Student no paramétrico </w:t>
      </w:r>
      <w:r w:rsidR="002C1CA4" w:rsidRPr="002C1CA4">
        <w:rPr>
          <w:rFonts w:ascii="Roboto" w:eastAsia="Roboto" w:hAnsi="Roboto" w:cs="Roboto"/>
          <w:sz w:val="20"/>
          <w:szCs w:val="20"/>
        </w:rPr>
        <w:t>(</w:t>
      </w:r>
      <w:r w:rsidR="002C1CA4" w:rsidRPr="003B21D8">
        <w:rPr>
          <w:rFonts w:ascii="Roboto" w:eastAsia="Roboto" w:hAnsi="Roboto" w:cs="Roboto"/>
          <w:i/>
          <w:iCs/>
          <w:sz w:val="20"/>
          <w:szCs w:val="20"/>
        </w:rPr>
        <w:t>p</w:t>
      </w:r>
      <w:r w:rsidR="002C1CA4" w:rsidRPr="002C1CA4">
        <w:rPr>
          <w:rFonts w:ascii="Roboto" w:eastAsia="Roboto" w:hAnsi="Roboto" w:cs="Roboto"/>
          <w:sz w:val="20"/>
          <w:szCs w:val="20"/>
        </w:rPr>
        <w:t>&lt;0.05).</w:t>
      </w:r>
    </w:p>
    <w:p w14:paraId="10514D63" w14:textId="77777777" w:rsidR="00F577EC" w:rsidRDefault="00F577E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" w:eastAsia="Roboto" w:hAnsi="Roboto" w:cs="Roboto"/>
          <w:color w:val="000000"/>
          <w:sz w:val="20"/>
          <w:szCs w:val="20"/>
        </w:rPr>
      </w:pPr>
    </w:p>
    <w:p w14:paraId="4CD40B8C" w14:textId="77777777" w:rsidR="002C1CA4" w:rsidRDefault="002C1CA4" w:rsidP="002C1CA4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CONCLUSIÓN</w:t>
      </w:r>
    </w:p>
    <w:p w14:paraId="7DCBDC16" w14:textId="77777777" w:rsidR="002C1CA4" w:rsidRDefault="002C1CA4" w:rsidP="002C1CA4">
      <w:pPr>
        <w:keepNext/>
        <w:jc w:val="both"/>
        <w:rPr>
          <w:rFonts w:ascii="Roboto" w:eastAsia="Roboto" w:hAnsi="Roboto" w:cs="Roboto"/>
          <w:sz w:val="20"/>
          <w:szCs w:val="20"/>
        </w:rPr>
      </w:pPr>
      <w:r w:rsidRPr="00F10A9E">
        <w:rPr>
          <w:rFonts w:ascii="Roboto" w:eastAsia="Roboto" w:hAnsi="Roboto" w:cs="Roboto"/>
          <w:sz w:val="20"/>
          <w:szCs w:val="20"/>
        </w:rPr>
        <w:t xml:space="preserve">La suplementación utilizada aumenta la expresión de </w:t>
      </w:r>
      <w:r w:rsidRPr="003B21D8">
        <w:rPr>
          <w:rFonts w:ascii="Roboto" w:eastAsia="Roboto" w:hAnsi="Roboto" w:cs="Roboto"/>
          <w:i/>
          <w:iCs/>
          <w:sz w:val="20"/>
          <w:szCs w:val="20"/>
        </w:rPr>
        <w:t xml:space="preserve">Lactobacillus </w:t>
      </w:r>
      <w:r w:rsidRPr="00F10A9E">
        <w:rPr>
          <w:rFonts w:ascii="Roboto" w:eastAsia="Roboto" w:hAnsi="Roboto" w:cs="Roboto"/>
          <w:sz w:val="20"/>
          <w:szCs w:val="20"/>
        </w:rPr>
        <w:t xml:space="preserve">y </w:t>
      </w:r>
      <w:r w:rsidRPr="003B21D8">
        <w:rPr>
          <w:rFonts w:ascii="Roboto" w:eastAsia="Roboto" w:hAnsi="Roboto" w:cs="Roboto"/>
          <w:i/>
          <w:iCs/>
          <w:sz w:val="20"/>
          <w:szCs w:val="20"/>
        </w:rPr>
        <w:t>Bifidobacterium</w:t>
      </w:r>
      <w:r w:rsidRPr="00F10A9E">
        <w:rPr>
          <w:rFonts w:ascii="Roboto" w:eastAsia="Roboto" w:hAnsi="Roboto" w:cs="Roboto"/>
          <w:sz w:val="20"/>
          <w:szCs w:val="20"/>
        </w:rPr>
        <w:t>, lo que puede promover la homeostasis hormonal y mejorar potencialmente la calidad de vida al aliviar los síntomas típicos de la menopausia</w:t>
      </w:r>
    </w:p>
    <w:p w14:paraId="53D5D187" w14:textId="77777777" w:rsidR="002C1CA4" w:rsidRDefault="002C1CA4">
      <w:pPr>
        <w:jc w:val="both"/>
        <w:rPr>
          <w:rFonts w:ascii="Roboto" w:eastAsia="Roboto" w:hAnsi="Roboto" w:cs="Roboto"/>
          <w:b/>
          <w:sz w:val="20"/>
          <w:szCs w:val="20"/>
        </w:rPr>
      </w:pPr>
    </w:p>
    <w:p w14:paraId="37CC58C4" w14:textId="48D5F99D" w:rsidR="00F577EC" w:rsidRDefault="00000000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 xml:space="preserve">AGRADECIMIENTOS </w:t>
      </w:r>
    </w:p>
    <w:p w14:paraId="3576347D" w14:textId="0DFC75DF" w:rsidR="00F577EC" w:rsidRDefault="00F10A9E">
      <w:p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presente estudio fue financiado con recuersos de la Escuela de Nutrición de la División de Ciencias de la Salud y con el apoyo del Centro de Investigación de la Universidad Anáhuac Querétaro, por lo que se extiede el agradeciiento, </w:t>
      </w:r>
    </w:p>
    <w:p w14:paraId="12C87EB9" w14:textId="77777777" w:rsidR="00F577EC" w:rsidRDefault="00F577EC">
      <w:pPr>
        <w:jc w:val="both"/>
        <w:rPr>
          <w:rFonts w:ascii="Roboto" w:eastAsia="Roboto" w:hAnsi="Roboto" w:cs="Roboto"/>
          <w:sz w:val="20"/>
          <w:szCs w:val="20"/>
        </w:rPr>
      </w:pPr>
    </w:p>
    <w:p w14:paraId="30B2347B" w14:textId="77777777" w:rsidR="00F577EC" w:rsidRDefault="00000000">
      <w:pPr>
        <w:jc w:val="both"/>
        <w:rPr>
          <w:rFonts w:ascii="Roboto" w:eastAsia="Roboto" w:hAnsi="Roboto" w:cs="Roboto"/>
          <w:b/>
          <w:sz w:val="20"/>
          <w:szCs w:val="20"/>
        </w:rPr>
      </w:pPr>
      <w:r>
        <w:rPr>
          <w:rFonts w:ascii="Roboto" w:eastAsia="Roboto" w:hAnsi="Roboto" w:cs="Roboto"/>
          <w:b/>
          <w:sz w:val="20"/>
          <w:szCs w:val="20"/>
        </w:rPr>
        <w:t>REFERENCIAS (Formato APA)</w:t>
      </w:r>
    </w:p>
    <w:p w14:paraId="77A26506" w14:textId="2AE6C0D2" w:rsidR="00F10A9E" w:rsidRPr="00F10A9E" w:rsidRDefault="00F10A9E" w:rsidP="00F10A9E">
      <w:pPr>
        <w:jc w:val="both"/>
        <w:rPr>
          <w:rFonts w:ascii="Roboto" w:eastAsia="Roboto" w:hAnsi="Roboto" w:cs="Roboto"/>
          <w:sz w:val="20"/>
          <w:szCs w:val="20"/>
        </w:rPr>
      </w:pPr>
      <w:r w:rsidRPr="00F10A9E">
        <w:rPr>
          <w:rFonts w:ascii="Roboto" w:eastAsia="Roboto" w:hAnsi="Roboto" w:cs="Roboto"/>
          <w:sz w:val="20"/>
          <w:szCs w:val="20"/>
        </w:rPr>
        <w:t>1.Crandall CJ, Mehta JM, Manson JE. Management of Menopausal Symptoms. JAMA. 2023 Feb 7;329(5):405.</w:t>
      </w:r>
    </w:p>
    <w:p w14:paraId="2B7E51DF" w14:textId="6AC47769" w:rsidR="00F10A9E" w:rsidRPr="00F10A9E" w:rsidRDefault="00F10A9E" w:rsidP="00F10A9E">
      <w:pPr>
        <w:jc w:val="both"/>
        <w:rPr>
          <w:rFonts w:ascii="Roboto" w:eastAsia="Roboto" w:hAnsi="Roboto" w:cs="Roboto"/>
          <w:sz w:val="20"/>
          <w:szCs w:val="20"/>
        </w:rPr>
      </w:pPr>
      <w:r w:rsidRPr="00F10A9E">
        <w:rPr>
          <w:rFonts w:ascii="Roboto" w:eastAsia="Roboto" w:hAnsi="Roboto" w:cs="Roboto"/>
          <w:sz w:val="20"/>
          <w:szCs w:val="20"/>
        </w:rPr>
        <w:t>2.Santoro N, Roeca C, Peters BA, Neal-Perry G. The Menopause Transition: Signs, Symptoms, and Management Options. The Journal of Clinical Endocrinology &amp; Metabolism. 2020 Oct 23;106(1):1–15.</w:t>
      </w:r>
    </w:p>
    <w:p w14:paraId="2FA46EA7" w14:textId="0E25E5D1" w:rsidR="00F10A9E" w:rsidRPr="00F10A9E" w:rsidRDefault="00F10A9E" w:rsidP="00F10A9E">
      <w:pPr>
        <w:jc w:val="both"/>
        <w:rPr>
          <w:rFonts w:ascii="Roboto" w:eastAsia="Roboto" w:hAnsi="Roboto" w:cs="Roboto"/>
          <w:sz w:val="20"/>
          <w:szCs w:val="20"/>
        </w:rPr>
      </w:pPr>
      <w:r w:rsidRPr="00F10A9E">
        <w:rPr>
          <w:rFonts w:ascii="Roboto" w:eastAsia="Roboto" w:hAnsi="Roboto" w:cs="Roboto"/>
          <w:sz w:val="20"/>
          <w:szCs w:val="20"/>
        </w:rPr>
        <w:t xml:space="preserve">3.Santoro N, Epperson CN, Mathews SB. Menopausal Symptoms and Their Management. Endocrinology and Metabolism Clinics of North America [Internet]. 2020 Sep;44(3):497–515. </w:t>
      </w:r>
    </w:p>
    <w:p w14:paraId="48A8496D" w14:textId="5EEE4157" w:rsidR="00F577EC" w:rsidRDefault="00F10A9E" w:rsidP="00F10A9E">
      <w:pPr>
        <w:jc w:val="both"/>
        <w:rPr>
          <w:rFonts w:ascii="Roboto" w:eastAsia="Roboto" w:hAnsi="Roboto" w:cs="Roboto"/>
        </w:rPr>
      </w:pPr>
      <w:r w:rsidRPr="00F10A9E">
        <w:rPr>
          <w:rFonts w:ascii="Roboto" w:eastAsia="Roboto" w:hAnsi="Roboto" w:cs="Roboto"/>
          <w:sz w:val="20"/>
          <w:szCs w:val="20"/>
        </w:rPr>
        <w:t>4.Monteleone P, Mascagni G, Giannini A, Genazzani AR, Simoncini T. Symptoms of menopause — global prevalence, physiology and implications. Nature Reviews Endocrinology [Internet]. 2018 Feb 2;14(4):199–215.</w:t>
      </w:r>
    </w:p>
    <w:sectPr w:rsidR="00F577EC">
      <w:type w:val="continuous"/>
      <w:pgSz w:w="11906" w:h="16838"/>
      <w:pgMar w:top="1134" w:right="851" w:bottom="1134" w:left="851" w:header="357" w:footer="720" w:gutter="0"/>
      <w:cols w:num="2" w:space="720" w:equalWidth="0">
        <w:col w:w="4934" w:space="335"/>
        <w:col w:w="4934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9D4BC0" w14:textId="77777777" w:rsidR="00E335D7" w:rsidRDefault="00E335D7">
      <w:r>
        <w:separator/>
      </w:r>
    </w:p>
  </w:endnote>
  <w:endnote w:type="continuationSeparator" w:id="0">
    <w:p w14:paraId="6A84FD83" w14:textId="77777777" w:rsidR="00E335D7" w:rsidRDefault="00E335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82BF37F9-AFEB-1C44-B52E-D2715C42A2ED}"/>
    <w:embedBold r:id="rId2" w:fontKey="{68656F0E-D7F1-7745-AD17-9A9CE659B8E1}"/>
    <w:embedItalic r:id="rId3" w:fontKey="{EF8F21E9-6D3C-854E-BBF3-17C1B7F2E4D6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4" w:fontKey="{36330FEE-B68B-4D44-856F-A0AEF56C03A7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5" w:fontKey="{F9BC957F-D64B-AF42-96B3-134B13132589}"/>
    <w:embedItalic r:id="rId6" w:fontKey="{304B4773-C2A2-6144-8467-6A8A214845ED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7" w:fontKey="{ADA00AC0-8B7C-C74E-98A6-CE42D792EB1D}"/>
    <w:embedBold r:id="rId8" w:fontKey="{13B62F6A-6D44-2549-8264-AD8B0FD21465}"/>
    <w:embedItalic r:id="rId9" w:fontKey="{30B3BDF7-0040-0740-9E81-6519A265FBB8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10" w:fontKey="{D5935DA9-1F2F-1E45-948B-5B932327562D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19D782" w14:textId="77777777" w:rsidR="00E335D7" w:rsidRDefault="00E335D7">
      <w:r>
        <w:separator/>
      </w:r>
    </w:p>
  </w:footnote>
  <w:footnote w:type="continuationSeparator" w:id="0">
    <w:p w14:paraId="26A7545F" w14:textId="77777777" w:rsidR="00E335D7" w:rsidRDefault="00E335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0580A3" w14:textId="77777777" w:rsidR="00F577EC" w:rsidRDefault="00F577EC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F577EC" w14:paraId="08311084" w14:textId="77777777">
      <w:trPr>
        <w:trHeight w:val="345"/>
        <w:jc w:val="center"/>
      </w:trPr>
      <w:tc>
        <w:tcPr>
          <w:tcW w:w="6306" w:type="dxa"/>
          <w:vAlign w:val="center"/>
        </w:tcPr>
        <w:p w14:paraId="1324DCA3" w14:textId="77777777" w:rsidR="00F577EC" w:rsidRDefault="00F577EC">
          <w:pPr>
            <w:jc w:val="center"/>
            <w:rPr>
              <w:i/>
              <w:sz w:val="18"/>
              <w:szCs w:val="18"/>
            </w:rPr>
          </w:pPr>
        </w:p>
      </w:tc>
    </w:tr>
  </w:tbl>
  <w:p w14:paraId="5D534D60" w14:textId="77777777" w:rsidR="00F577EC" w:rsidRDefault="00F577EC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77EC"/>
    <w:rsid w:val="002C1CA4"/>
    <w:rsid w:val="003B21D8"/>
    <w:rsid w:val="005B12EE"/>
    <w:rsid w:val="00741474"/>
    <w:rsid w:val="0079583F"/>
    <w:rsid w:val="008A7B5E"/>
    <w:rsid w:val="00BD1D3F"/>
    <w:rsid w:val="00C21B84"/>
    <w:rsid w:val="00DA7E7D"/>
    <w:rsid w:val="00E335D7"/>
    <w:rsid w:val="00F10A9E"/>
    <w:rsid w:val="00F57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40518"/>
  <w15:docId w15:val="{2184F2D2-6C2C-7B48-A5E2-233412AEA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631</Words>
  <Characters>3473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Sara Julietta Lozano Herrera</cp:lastModifiedBy>
  <cp:revision>3</cp:revision>
  <dcterms:created xsi:type="dcterms:W3CDTF">2026-02-26T23:29:00Z</dcterms:created>
  <dcterms:modified xsi:type="dcterms:W3CDTF">2026-02-27T14:20:00Z</dcterms:modified>
</cp:coreProperties>
</file>