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D05DC4" w14:textId="3DC6AC00" w:rsidR="00D34E12" w:rsidRDefault="00D34E12" w:rsidP="009B1951">
      <w:pPr>
        <w:pBdr>
          <w:top w:val="nil"/>
          <w:left w:val="nil"/>
          <w:bottom w:val="nil"/>
          <w:right w:val="nil"/>
          <w:between w:val="nil"/>
        </w:pBdr>
        <w:spacing w:before="120" w:after="120"/>
        <w:jc w:val="center"/>
        <w:rPr>
          <w:rFonts w:ascii="Roboto" w:eastAsia="Roboto" w:hAnsi="Roboto" w:cs="Roboto"/>
          <w:b/>
          <w:bCs/>
          <w:sz w:val="20"/>
          <w:szCs w:val="20"/>
        </w:rPr>
      </w:pPr>
      <w:r w:rsidRPr="00D34E12">
        <w:rPr>
          <w:rFonts w:ascii="Roboto" w:eastAsia="Roboto" w:hAnsi="Roboto" w:cs="Roboto"/>
          <w:b/>
          <w:bCs/>
        </w:rPr>
        <w:t>Responsabilidad social del estudiante universitario: un estudio exploratorio en México</w:t>
      </w:r>
    </w:p>
    <w:p w14:paraId="7837558C" w14:textId="0655CE1A" w:rsidR="00D34E12" w:rsidRDefault="00D34E12" w:rsidP="00D34E12">
      <w:pPr>
        <w:pBdr>
          <w:top w:val="nil"/>
          <w:left w:val="nil"/>
          <w:bottom w:val="nil"/>
          <w:right w:val="nil"/>
          <w:between w:val="nil"/>
        </w:pBdr>
        <w:spacing w:before="120" w:after="120"/>
        <w:jc w:val="center"/>
        <w:rPr>
          <w:rFonts w:ascii="Roboto" w:eastAsia="Roboto" w:hAnsi="Roboto" w:cs="Roboto"/>
          <w:sz w:val="18"/>
          <w:szCs w:val="18"/>
        </w:rPr>
      </w:pPr>
      <w:r w:rsidRPr="00D34E12">
        <w:rPr>
          <w:rFonts w:ascii="Roboto" w:eastAsia="Roboto" w:hAnsi="Roboto" w:cs="Roboto"/>
          <w:b/>
          <w:bCs/>
          <w:sz w:val="20"/>
          <w:szCs w:val="20"/>
        </w:rPr>
        <w:t>Miranda</w:t>
      </w:r>
      <w:r>
        <w:rPr>
          <w:rFonts w:ascii="Roboto" w:eastAsia="Roboto" w:hAnsi="Roboto" w:cs="Roboto"/>
          <w:b/>
          <w:bCs/>
          <w:sz w:val="20"/>
          <w:szCs w:val="20"/>
        </w:rPr>
        <w:t>-</w:t>
      </w:r>
      <w:r w:rsidRPr="00D34E12">
        <w:rPr>
          <w:rFonts w:ascii="Roboto" w:eastAsia="Roboto" w:hAnsi="Roboto" w:cs="Roboto"/>
          <w:b/>
          <w:bCs/>
          <w:sz w:val="20"/>
          <w:szCs w:val="20"/>
        </w:rPr>
        <w:t>Navarro</w:t>
      </w:r>
      <w:r>
        <w:rPr>
          <w:rFonts w:ascii="Roboto" w:eastAsia="Roboto" w:hAnsi="Roboto" w:cs="Roboto"/>
          <w:b/>
          <w:bCs/>
          <w:sz w:val="20"/>
          <w:szCs w:val="20"/>
        </w:rPr>
        <w:t xml:space="preserve"> L.</w:t>
      </w:r>
      <w:r w:rsidRPr="00D34E12">
        <w:rPr>
          <w:rFonts w:ascii="Roboto" w:eastAsia="Roboto" w:hAnsi="Roboto" w:cs="Roboto"/>
          <w:b/>
          <w:color w:val="000000"/>
          <w:sz w:val="22"/>
          <w:szCs w:val="22"/>
          <w:vertAlign w:val="superscript"/>
        </w:rPr>
        <w:t>1</w:t>
      </w:r>
      <w:r>
        <w:rPr>
          <w:rFonts w:ascii="Roboto" w:eastAsia="Roboto" w:hAnsi="Roboto" w:cs="Roboto"/>
          <w:b/>
          <w:color w:val="000000"/>
          <w:sz w:val="20"/>
          <w:szCs w:val="20"/>
          <w:vertAlign w:val="superscript"/>
        </w:rPr>
        <w:t xml:space="preserve"> </w:t>
      </w:r>
      <w:r w:rsidRPr="005E66F6">
        <w:rPr>
          <w:rFonts w:ascii="Roboto" w:eastAsia="Roboto" w:hAnsi="Roboto" w:cs="Roboto"/>
          <w:b/>
          <w:color w:val="000000"/>
          <w:vertAlign w:val="superscript"/>
        </w:rPr>
        <w:t xml:space="preserve">* </w:t>
      </w:r>
      <w:r>
        <w:rPr>
          <w:rFonts w:ascii="Roboto" w:eastAsia="Roboto" w:hAnsi="Roboto" w:cs="Roboto"/>
          <w:b/>
          <w:sz w:val="20"/>
          <w:szCs w:val="20"/>
        </w:rPr>
        <w:t>, S</w:t>
      </w:r>
      <w:r w:rsidRPr="00D34E12">
        <w:rPr>
          <w:rFonts w:ascii="Roboto" w:eastAsia="Roboto" w:hAnsi="Roboto" w:cs="Roboto"/>
          <w:b/>
          <w:bCs/>
          <w:sz w:val="20"/>
          <w:szCs w:val="20"/>
        </w:rPr>
        <w:t>everino-Gonzále</w:t>
      </w:r>
      <w:r>
        <w:rPr>
          <w:rFonts w:ascii="Roboto" w:eastAsia="Roboto" w:hAnsi="Roboto" w:cs="Roboto"/>
          <w:b/>
          <w:bCs/>
          <w:sz w:val="20"/>
          <w:szCs w:val="20"/>
        </w:rPr>
        <w:t xml:space="preserve">z P. </w:t>
      </w:r>
      <w:r w:rsidRPr="00D34E12">
        <w:rPr>
          <w:rFonts w:ascii="Roboto" w:hAnsi="Roboto" w:cs="Arial"/>
          <w:sz w:val="22"/>
          <w:szCs w:val="22"/>
          <w:vertAlign w:val="superscript"/>
          <w:lang w:val="es-ES" w:eastAsia="es-ES"/>
        </w:rPr>
        <w:t>2</w:t>
      </w:r>
      <w:r>
        <w:rPr>
          <w:rFonts w:ascii="Roboto" w:hAnsi="Roboto" w:cs="Arial"/>
          <w:sz w:val="22"/>
          <w:szCs w:val="22"/>
          <w:vertAlign w:val="superscript"/>
          <w:lang w:val="es-ES" w:eastAsia="es-ES"/>
        </w:rPr>
        <w:t xml:space="preserve">  </w:t>
      </w:r>
      <w:r>
        <w:rPr>
          <w:rFonts w:ascii="Roboto" w:eastAsia="Roboto" w:hAnsi="Roboto" w:cs="Roboto"/>
          <w:b/>
          <w:sz w:val="20"/>
          <w:szCs w:val="20"/>
        </w:rPr>
        <w:t xml:space="preserve">y </w:t>
      </w:r>
      <w:r>
        <w:rPr>
          <w:rFonts w:ascii="Roboto" w:eastAsia="Roboto" w:hAnsi="Roboto" w:cs="Roboto"/>
          <w:b/>
          <w:bCs/>
          <w:sz w:val="20"/>
          <w:szCs w:val="20"/>
        </w:rPr>
        <w:t xml:space="preserve">Rebolledo-Aburto G. </w:t>
      </w:r>
      <w:r>
        <w:rPr>
          <w:rFonts w:ascii="Roboto" w:hAnsi="Roboto" w:cs="Arial"/>
          <w:sz w:val="22"/>
          <w:szCs w:val="22"/>
          <w:vertAlign w:val="superscript"/>
          <w:lang w:val="es-ES" w:eastAsia="es-ES"/>
        </w:rPr>
        <w:t>3</w:t>
      </w:r>
    </w:p>
    <w:p w14:paraId="72BEA033" w14:textId="77C3A69D" w:rsidR="00D34E12" w:rsidRPr="00D34E12" w:rsidRDefault="00D34E12" w:rsidP="00D34E12">
      <w:pPr>
        <w:contextualSpacing/>
        <w:jc w:val="center"/>
        <w:rPr>
          <w:rFonts w:ascii="Roboto" w:eastAsia="Calibri" w:hAnsi="Roboto" w:cs="Arial"/>
          <w:sz w:val="18"/>
          <w:szCs w:val="18"/>
          <w:lang w:eastAsia="en-US"/>
        </w:rPr>
      </w:pPr>
      <w:hyperlink r:id="rId7" w:history="1">
        <w:r w:rsidRPr="00D34E12">
          <w:rPr>
            <w:rFonts w:ascii="Roboto" w:eastAsia="Calibri" w:hAnsi="Roboto"/>
            <w:sz w:val="18"/>
            <w:szCs w:val="18"/>
            <w:lang w:eastAsia="en-US"/>
          </w:rPr>
          <w:t>https://orcid.org/0009-0002-9481-631X</w:t>
        </w:r>
      </w:hyperlink>
    </w:p>
    <w:p w14:paraId="7F7464D7" w14:textId="77777777" w:rsidR="00D34E12" w:rsidRPr="00D34E12" w:rsidRDefault="00D34E12" w:rsidP="00D34E12">
      <w:pPr>
        <w:jc w:val="center"/>
        <w:rPr>
          <w:rFonts w:ascii="Roboto" w:hAnsi="Roboto" w:cs="Arial"/>
          <w:b/>
          <w:bCs/>
          <w:sz w:val="18"/>
          <w:szCs w:val="18"/>
          <w:lang w:val="es-ES" w:eastAsia="es-ES"/>
        </w:rPr>
      </w:pPr>
      <w:r w:rsidRPr="00D34E12">
        <w:rPr>
          <w:rFonts w:ascii="Roboto" w:hAnsi="Roboto" w:cs="Arial"/>
          <w:bCs/>
          <w:sz w:val="18"/>
          <w:szCs w:val="18"/>
          <w:lang w:val="es-ES" w:eastAsia="es-ES"/>
        </w:rPr>
        <w:t>https://orcid.org/0000-0003-4784-9151</w:t>
      </w:r>
    </w:p>
    <w:p w14:paraId="28C49830" w14:textId="77777777" w:rsidR="00D34E12" w:rsidRPr="00D34E12" w:rsidRDefault="00D34E12" w:rsidP="00D34E12">
      <w:pPr>
        <w:contextualSpacing/>
        <w:jc w:val="center"/>
        <w:rPr>
          <w:rFonts w:ascii="Roboto" w:eastAsia="Calibri" w:hAnsi="Roboto" w:cs="Arial"/>
          <w:sz w:val="18"/>
          <w:szCs w:val="18"/>
          <w:lang w:eastAsia="en-US"/>
        </w:rPr>
      </w:pPr>
      <w:r w:rsidRPr="00D34E12">
        <w:rPr>
          <w:rFonts w:ascii="Roboto" w:eastAsia="Calibri" w:hAnsi="Roboto" w:cs="Arial"/>
          <w:sz w:val="18"/>
          <w:szCs w:val="18"/>
          <w:lang w:eastAsia="en-US"/>
        </w:rPr>
        <w:t>https://orcid.org/0009-0008-8113-5308</w:t>
      </w:r>
    </w:p>
    <w:p w14:paraId="5DB0F1B0" w14:textId="77777777" w:rsidR="00D34E12" w:rsidRPr="00D34E12" w:rsidRDefault="00D34E12" w:rsidP="00D34E12">
      <w:pPr>
        <w:jc w:val="center"/>
        <w:rPr>
          <w:rFonts w:ascii="Roboto" w:hAnsi="Roboto" w:cs="Arial"/>
          <w:b/>
          <w:bCs/>
          <w:sz w:val="18"/>
          <w:szCs w:val="18"/>
          <w:lang w:eastAsia="es-ES"/>
        </w:rPr>
      </w:pPr>
    </w:p>
    <w:p w14:paraId="28526DC8" w14:textId="1819D727" w:rsidR="005E66F6" w:rsidRDefault="005E66F6" w:rsidP="005E66F6">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Pr>
          <w:rFonts w:ascii="Roboto" w:eastAsia="Roboto" w:hAnsi="Roboto" w:cs="Roboto"/>
          <w:sz w:val="18"/>
          <w:szCs w:val="18"/>
        </w:rPr>
        <w:t>lorena.miranda@anahuac.mx)</w:t>
      </w:r>
    </w:p>
    <w:p w14:paraId="6133900B" w14:textId="04A8FFA9" w:rsidR="00C96E3D" w:rsidRDefault="00716792">
      <w:pPr>
        <w:spacing w:before="60"/>
        <w:jc w:val="center"/>
        <w:rPr>
          <w:rFonts w:ascii="Roboto" w:eastAsia="Roboto" w:hAnsi="Roboto" w:cs="Roboto"/>
          <w:sz w:val="18"/>
          <w:szCs w:val="18"/>
        </w:rPr>
        <w:sectPr w:rsidR="00C96E3D">
          <w:headerReference w:type="default" r:id="rId8"/>
          <w:pgSz w:w="11906" w:h="16838"/>
          <w:pgMar w:top="851" w:right="851" w:bottom="828" w:left="851" w:header="357" w:footer="720" w:gutter="0"/>
          <w:pgNumType w:start="1"/>
          <w:cols w:space="720"/>
        </w:sectPr>
      </w:pPr>
      <w:r>
        <w:rPr>
          <w:noProof/>
          <w:sz w:val="10"/>
          <w:szCs w:val="10"/>
        </w:rPr>
        <w:pict w14:anchorId="7150297A">
          <v:rect id="_x0000_i1025" alt="" style="width:441.9pt;height:.05pt;mso-width-percent:0;mso-height-percent:0;mso-width-percent:0;mso-height-percent:0" o:hralign="center" o:hrstd="t" o:hr="t" fillcolor="#a0a0a0" stroked="f"/>
        </w:pict>
      </w:r>
    </w:p>
    <w:p w14:paraId="405DAE07" w14:textId="77777777" w:rsidR="006D622F" w:rsidRDefault="006D622F">
      <w:pPr>
        <w:pBdr>
          <w:top w:val="nil"/>
          <w:left w:val="nil"/>
          <w:bottom w:val="nil"/>
          <w:right w:val="nil"/>
          <w:between w:val="nil"/>
        </w:pBdr>
        <w:jc w:val="both"/>
        <w:rPr>
          <w:rFonts w:ascii="Roboto" w:eastAsia="Roboto" w:hAnsi="Roboto" w:cs="Roboto"/>
          <w:b/>
          <w:bCs/>
          <w:sz w:val="20"/>
          <w:szCs w:val="20"/>
        </w:rPr>
      </w:pPr>
    </w:p>
    <w:p w14:paraId="1229DC6D" w14:textId="4F10536F" w:rsidR="00C96E3D" w:rsidRDefault="00000000">
      <w:pPr>
        <w:pBdr>
          <w:top w:val="nil"/>
          <w:left w:val="nil"/>
          <w:bottom w:val="nil"/>
          <w:right w:val="nil"/>
          <w:between w:val="nil"/>
        </w:pBdr>
        <w:jc w:val="both"/>
        <w:rPr>
          <w:rFonts w:ascii="Roboto" w:eastAsia="Roboto" w:hAnsi="Roboto" w:cs="Roboto"/>
          <w:b/>
          <w:bCs/>
          <w:sz w:val="20"/>
          <w:szCs w:val="20"/>
        </w:rPr>
      </w:pPr>
      <w:r>
        <w:rPr>
          <w:rFonts w:ascii="Roboto" w:eastAsia="Roboto" w:hAnsi="Roboto" w:cs="Roboto"/>
          <w:b/>
          <w:bCs/>
          <w:sz w:val="20"/>
          <w:szCs w:val="20"/>
        </w:rPr>
        <w:t>Introducción</w:t>
      </w:r>
    </w:p>
    <w:p w14:paraId="460F4E8B" w14:textId="77777777" w:rsidR="00F54FD0" w:rsidRPr="00F54FD0" w:rsidRDefault="00F54FD0">
      <w:pPr>
        <w:pBdr>
          <w:top w:val="nil"/>
          <w:left w:val="nil"/>
          <w:bottom w:val="nil"/>
          <w:right w:val="nil"/>
          <w:between w:val="nil"/>
        </w:pBdr>
        <w:jc w:val="both"/>
        <w:rPr>
          <w:rFonts w:ascii="Roboto" w:eastAsia="Roboto" w:hAnsi="Roboto" w:cs="Roboto"/>
          <w:b/>
          <w:bCs/>
          <w:color w:val="000000"/>
          <w:sz w:val="10"/>
          <w:szCs w:val="10"/>
        </w:rPr>
      </w:pPr>
    </w:p>
    <w:p w14:paraId="22306E89" w14:textId="77777777" w:rsidR="006D622F" w:rsidRPr="006D622F" w:rsidRDefault="006D622F" w:rsidP="006D622F">
      <w:pPr>
        <w:pBdr>
          <w:top w:val="nil"/>
          <w:left w:val="nil"/>
          <w:bottom w:val="nil"/>
          <w:right w:val="nil"/>
          <w:between w:val="nil"/>
        </w:pBdr>
        <w:jc w:val="both"/>
        <w:rPr>
          <w:rFonts w:ascii="Roboto" w:eastAsia="Roboto" w:hAnsi="Roboto" w:cs="Roboto"/>
          <w:sz w:val="20"/>
          <w:szCs w:val="20"/>
        </w:rPr>
      </w:pPr>
      <w:r w:rsidRPr="006D622F">
        <w:rPr>
          <w:rFonts w:ascii="Roboto" w:eastAsia="Roboto" w:hAnsi="Roboto" w:cs="Roboto"/>
          <w:sz w:val="20"/>
          <w:szCs w:val="20"/>
        </w:rPr>
        <w:t>Las transformaciones sociales, ambientales y éticas contemporáneas han redefinido el papel de las universidades, reforzando la necesidad de formar profesionales con una visión integral, sostenible y orientada al bien común. En este contexto, la Responsabilidad Social Universitaria (RSU) se configura como una competencia transversal que supera la lógica exclusiva de los contenidos curriculares y se proyecta como eje estructurante del proceso formativo (Garbizo Flores et al., 2021). La RSU no solo implica acciones de extensión, sino la incorporación sistemática de valores éticos en la misión institucional y en los procesos académicos.</w:t>
      </w:r>
    </w:p>
    <w:p w14:paraId="43DE022B" w14:textId="370D40AE" w:rsidR="00836967" w:rsidRDefault="006D622F" w:rsidP="006D622F">
      <w:pPr>
        <w:pBdr>
          <w:top w:val="nil"/>
          <w:left w:val="nil"/>
          <w:bottom w:val="nil"/>
          <w:right w:val="nil"/>
          <w:between w:val="nil"/>
        </w:pBdr>
        <w:jc w:val="both"/>
        <w:rPr>
          <w:rFonts w:ascii="Roboto" w:eastAsia="Roboto" w:hAnsi="Roboto" w:cs="Roboto"/>
          <w:sz w:val="20"/>
          <w:szCs w:val="20"/>
        </w:rPr>
      </w:pPr>
      <w:r w:rsidRPr="006D622F">
        <w:rPr>
          <w:rFonts w:ascii="Roboto" w:eastAsia="Roboto" w:hAnsi="Roboto" w:cs="Roboto"/>
          <w:sz w:val="20"/>
          <w:szCs w:val="20"/>
        </w:rPr>
        <w:t>Diversos estudios señalan que la RSU influye en la cultura organizacional, la gestión universitaria y la percepción estudiantil del compromiso social institucional (Porubčanová et al., 2024; Azizi et al., 2023). Asimismo, su articulación con la sostenibilidad se ha consolidado como un componente clave para la transformación universitaria (Gallardo-Vázquez et al., 2024; Yakut et al., 2025). En este marco, el presente estudio tiene como objetivo analizar la responsabilidad social del estudiante universitario en la Facultad de Responsabilidad Social de la Universidad Anáhuac México, con el fin de aportar evidencia empírica sobre su interiorización y vivencia formativa.</w:t>
      </w:r>
    </w:p>
    <w:p w14:paraId="1B27264C" w14:textId="77777777" w:rsidR="006D622F" w:rsidRDefault="006D622F" w:rsidP="006D622F">
      <w:pPr>
        <w:pBdr>
          <w:top w:val="nil"/>
          <w:left w:val="nil"/>
          <w:bottom w:val="nil"/>
          <w:right w:val="nil"/>
          <w:between w:val="nil"/>
        </w:pBdr>
        <w:jc w:val="both"/>
        <w:rPr>
          <w:rFonts w:ascii="Roboto" w:eastAsia="Roboto" w:hAnsi="Roboto" w:cs="Roboto"/>
          <w:b/>
          <w:bCs/>
          <w:color w:val="000000"/>
          <w:sz w:val="20"/>
          <w:szCs w:val="20"/>
        </w:rPr>
      </w:pPr>
    </w:p>
    <w:p w14:paraId="0EAF9536" w14:textId="77777777" w:rsidR="00836967" w:rsidRDefault="00836967" w:rsidP="00F54FD0">
      <w:pPr>
        <w:pBdr>
          <w:top w:val="nil"/>
          <w:left w:val="nil"/>
          <w:bottom w:val="nil"/>
          <w:right w:val="nil"/>
          <w:between w:val="nil"/>
        </w:pBdr>
        <w:jc w:val="both"/>
        <w:rPr>
          <w:rFonts w:ascii="Roboto" w:eastAsia="Roboto" w:hAnsi="Roboto" w:cs="Roboto"/>
          <w:b/>
          <w:bCs/>
          <w:sz w:val="20"/>
          <w:szCs w:val="20"/>
        </w:rPr>
      </w:pPr>
      <w:r w:rsidRPr="00836967">
        <w:rPr>
          <w:rFonts w:ascii="Roboto" w:eastAsia="Roboto" w:hAnsi="Roboto" w:cs="Roboto"/>
          <w:b/>
          <w:bCs/>
          <w:sz w:val="20"/>
          <w:szCs w:val="20"/>
        </w:rPr>
        <w:t>Revisión de literatura</w:t>
      </w:r>
    </w:p>
    <w:p w14:paraId="5B49CA24" w14:textId="77777777" w:rsidR="00836967" w:rsidRPr="000C325C" w:rsidRDefault="00836967" w:rsidP="00F54FD0">
      <w:pPr>
        <w:pBdr>
          <w:top w:val="nil"/>
          <w:left w:val="nil"/>
          <w:bottom w:val="nil"/>
          <w:right w:val="nil"/>
          <w:between w:val="nil"/>
        </w:pBdr>
        <w:jc w:val="both"/>
        <w:rPr>
          <w:rFonts w:ascii="Roboto" w:eastAsia="Roboto" w:hAnsi="Roboto" w:cs="Roboto"/>
          <w:b/>
          <w:bCs/>
          <w:sz w:val="10"/>
          <w:szCs w:val="10"/>
        </w:rPr>
      </w:pPr>
    </w:p>
    <w:p w14:paraId="12DE7738" w14:textId="77777777" w:rsidR="006D622F" w:rsidRPr="006D622F" w:rsidRDefault="006D622F" w:rsidP="006D622F">
      <w:pPr>
        <w:pBdr>
          <w:top w:val="nil"/>
          <w:left w:val="nil"/>
          <w:bottom w:val="nil"/>
          <w:right w:val="nil"/>
          <w:between w:val="nil"/>
        </w:pBdr>
        <w:jc w:val="both"/>
        <w:rPr>
          <w:rFonts w:ascii="Roboto" w:eastAsia="Roboto" w:hAnsi="Roboto" w:cs="Roboto"/>
          <w:sz w:val="20"/>
          <w:szCs w:val="20"/>
        </w:rPr>
      </w:pPr>
      <w:r w:rsidRPr="006D622F">
        <w:rPr>
          <w:rFonts w:ascii="Roboto" w:eastAsia="Roboto" w:hAnsi="Roboto" w:cs="Roboto"/>
          <w:sz w:val="20"/>
          <w:szCs w:val="20"/>
        </w:rPr>
        <w:t>La RSU se ha consolidado como una estrategia fundamental para promover el desarrollo sostenible y el bienestar social (Ali et al., 2021). Su implementación supone integrar ética, participación comunitaria y responsabilidad ambiental en las funciones sustantivas universitarias (Godonoga y Sporn, 2023). La literatura enfatiza que la responsabilidad social debe asumirse como un proyecto sistémico y no como iniciativas fragmentadas de vinculación (Borelli y Cardoso, 2025).</w:t>
      </w:r>
    </w:p>
    <w:p w14:paraId="61AE7B8A" w14:textId="78C16D47" w:rsidR="00836967" w:rsidRPr="006D622F" w:rsidRDefault="006D622F" w:rsidP="00836967">
      <w:pPr>
        <w:pBdr>
          <w:top w:val="nil"/>
          <w:left w:val="nil"/>
          <w:bottom w:val="nil"/>
          <w:right w:val="nil"/>
          <w:between w:val="nil"/>
        </w:pBdr>
        <w:jc w:val="both"/>
        <w:rPr>
          <w:rFonts w:ascii="Roboto" w:eastAsia="Roboto" w:hAnsi="Roboto" w:cs="Roboto"/>
          <w:sz w:val="20"/>
          <w:szCs w:val="20"/>
        </w:rPr>
      </w:pPr>
      <w:r w:rsidRPr="006D622F">
        <w:rPr>
          <w:rFonts w:ascii="Roboto" w:eastAsia="Roboto" w:hAnsi="Roboto" w:cs="Roboto"/>
          <w:sz w:val="20"/>
          <w:szCs w:val="20"/>
        </w:rPr>
        <w:t xml:space="preserve">Investigaciones recientes destacan que la empatía, la identidad moral y el sentido de comunidad constituyen bases del comportamiento prosocial en contextos universitarios (Bartolo et al., 2023; Peng et al., 2024). Sin embargo, los niveles de responsabilidad social pueden variar según género, contexto sociocultural y trayectorias formativas (Alfirević et al., 2023). Estudios en América Latina han identificado diferencias asociadas a variables como ocupación, voluntariado y años de permanencia universitaria (Severino-González et al., 2023; Severino-González et al., 2024; Sarmiento-Peralta et al., 2021). Además, se ha advertido que la existencia de principios institucionales no garantiza su </w:t>
      </w:r>
      <w:r w:rsidRPr="006D622F">
        <w:rPr>
          <w:rFonts w:ascii="Roboto" w:eastAsia="Roboto" w:hAnsi="Roboto" w:cs="Roboto"/>
          <w:sz w:val="20"/>
          <w:szCs w:val="20"/>
        </w:rPr>
        <w:t>plena asimilación por parte del alumnado (de Moraes Abrahão et al., 2024), lo que justifica el análisis empírico en contextos específicos.</w:t>
      </w:r>
    </w:p>
    <w:p w14:paraId="20B7DCE6" w14:textId="77777777" w:rsidR="00836967" w:rsidRDefault="00836967" w:rsidP="00836967">
      <w:pPr>
        <w:jc w:val="both"/>
        <w:rPr>
          <w:rFonts w:ascii="Roboto" w:eastAsia="Roboto" w:hAnsi="Roboto" w:cs="Roboto"/>
          <w:sz w:val="20"/>
          <w:szCs w:val="20"/>
        </w:rPr>
      </w:pPr>
    </w:p>
    <w:p w14:paraId="09C7D39B" w14:textId="774A8BDF" w:rsidR="00C96E3D" w:rsidRDefault="00000000">
      <w:pPr>
        <w:jc w:val="both"/>
        <w:rPr>
          <w:rFonts w:ascii="Roboto" w:eastAsia="Roboto" w:hAnsi="Roboto" w:cs="Roboto"/>
          <w:b/>
          <w:bCs/>
          <w:sz w:val="20"/>
          <w:szCs w:val="20"/>
        </w:rPr>
      </w:pPr>
      <w:r>
        <w:rPr>
          <w:rFonts w:ascii="Roboto" w:eastAsia="Roboto" w:hAnsi="Roboto" w:cs="Roboto"/>
          <w:b/>
          <w:bCs/>
          <w:sz w:val="20"/>
          <w:szCs w:val="20"/>
        </w:rPr>
        <w:t>Metodología</w:t>
      </w:r>
    </w:p>
    <w:p w14:paraId="43930455" w14:textId="77777777" w:rsidR="000C325C" w:rsidRPr="000C325C" w:rsidRDefault="000C325C">
      <w:pPr>
        <w:jc w:val="both"/>
        <w:rPr>
          <w:rFonts w:ascii="Roboto" w:eastAsia="Roboto" w:hAnsi="Roboto" w:cs="Roboto"/>
          <w:b/>
          <w:bCs/>
          <w:sz w:val="10"/>
          <w:szCs w:val="10"/>
        </w:rPr>
      </w:pPr>
    </w:p>
    <w:p w14:paraId="02EBCC1C" w14:textId="77777777" w:rsidR="006D622F" w:rsidRDefault="006D622F" w:rsidP="006D622F">
      <w:pPr>
        <w:jc w:val="both"/>
        <w:rPr>
          <w:rFonts w:ascii="Roboto" w:eastAsia="Roboto" w:hAnsi="Roboto" w:cs="Roboto"/>
          <w:sz w:val="20"/>
          <w:szCs w:val="20"/>
        </w:rPr>
      </w:pPr>
      <w:r w:rsidRPr="006D622F">
        <w:rPr>
          <w:rFonts w:ascii="Roboto" w:eastAsia="Roboto" w:hAnsi="Roboto" w:cs="Roboto"/>
          <w:sz w:val="20"/>
          <w:szCs w:val="20"/>
        </w:rPr>
        <w:t>El estudio adoptó un enfoque cuantitativo con diseño exploratorio. Se aplicó el cuestionario de responsabilidad social del estudiante universitario (García Ramos et al., 2016), compuesto por 20 ítems distribuidos en cuatro dimensiones: compromiso con los demás y el entorno; descubrimiento personal de los valores; formación de la responsabilidad social; y planteamiento del ejercicio profesional desde el compromiso social. Las respuestas se registraron mediante una escala Likert de seis puntos.</w:t>
      </w:r>
    </w:p>
    <w:p w14:paraId="63E5C4BB" w14:textId="2B020FAA" w:rsidR="006D622F" w:rsidRDefault="006D622F" w:rsidP="006D622F">
      <w:pPr>
        <w:jc w:val="both"/>
        <w:rPr>
          <w:rFonts w:ascii="Roboto" w:eastAsia="Roboto" w:hAnsi="Roboto" w:cs="Roboto"/>
          <w:sz w:val="20"/>
          <w:szCs w:val="20"/>
        </w:rPr>
      </w:pPr>
      <w:r w:rsidRPr="006D622F">
        <w:rPr>
          <w:rFonts w:ascii="Roboto" w:eastAsia="Roboto" w:hAnsi="Roboto" w:cs="Roboto"/>
          <w:sz w:val="20"/>
          <w:szCs w:val="20"/>
        </w:rPr>
        <w:t>La recolección de datos se realizó entre enero y julio de 2025 mediante un formulario digital. Los datos fueron procesados con estadísticos descriptivos y coeficientes de consistencia interna. Tras aplicar pruebas de normalidad, se utilizaron pruebas no paramétricas para examinar diferencias según variables sociodemográficas, profundizando únicamente en aquellas diferencias estadísticamente significativas.</w:t>
      </w:r>
    </w:p>
    <w:p w14:paraId="1F5B0A0F" w14:textId="77777777" w:rsidR="006D622F" w:rsidRDefault="006D622F" w:rsidP="006D622F">
      <w:pPr>
        <w:jc w:val="both"/>
        <w:rPr>
          <w:rFonts w:ascii="Roboto" w:eastAsia="Roboto" w:hAnsi="Roboto" w:cs="Roboto"/>
          <w:sz w:val="20"/>
          <w:szCs w:val="20"/>
        </w:rPr>
      </w:pPr>
    </w:p>
    <w:p w14:paraId="4C4FDC05" w14:textId="77777777" w:rsidR="006D622F" w:rsidRDefault="006D622F" w:rsidP="006D622F">
      <w:pPr>
        <w:pBdr>
          <w:top w:val="nil"/>
          <w:left w:val="nil"/>
          <w:bottom w:val="nil"/>
          <w:right w:val="nil"/>
          <w:between w:val="nil"/>
        </w:pBdr>
        <w:jc w:val="both"/>
        <w:rPr>
          <w:rFonts w:ascii="Roboto" w:eastAsia="Roboto" w:hAnsi="Roboto" w:cs="Roboto"/>
          <w:b/>
          <w:bCs/>
          <w:sz w:val="20"/>
          <w:szCs w:val="20"/>
        </w:rPr>
      </w:pPr>
      <w:r>
        <w:rPr>
          <w:rFonts w:ascii="Roboto" w:eastAsia="Roboto" w:hAnsi="Roboto" w:cs="Roboto"/>
          <w:b/>
          <w:bCs/>
          <w:sz w:val="20"/>
          <w:szCs w:val="20"/>
        </w:rPr>
        <w:t>Hallazgos</w:t>
      </w:r>
    </w:p>
    <w:p w14:paraId="2EB88B6D" w14:textId="77777777" w:rsidR="006D622F" w:rsidRPr="000C325C" w:rsidRDefault="006D622F" w:rsidP="006D622F">
      <w:pPr>
        <w:pBdr>
          <w:top w:val="nil"/>
          <w:left w:val="nil"/>
          <w:bottom w:val="nil"/>
          <w:right w:val="nil"/>
          <w:between w:val="nil"/>
        </w:pBdr>
        <w:jc w:val="both"/>
        <w:rPr>
          <w:rFonts w:ascii="Roboto" w:eastAsia="Roboto" w:hAnsi="Roboto" w:cs="Roboto"/>
          <w:b/>
          <w:bCs/>
          <w:color w:val="000000"/>
          <w:sz w:val="10"/>
          <w:szCs w:val="10"/>
        </w:rPr>
      </w:pPr>
    </w:p>
    <w:p w14:paraId="1D154C2E" w14:textId="77777777" w:rsidR="006D622F" w:rsidRDefault="006D622F" w:rsidP="006D622F">
      <w:pPr>
        <w:pBdr>
          <w:top w:val="nil"/>
          <w:left w:val="nil"/>
          <w:bottom w:val="nil"/>
          <w:right w:val="nil"/>
          <w:between w:val="nil"/>
        </w:pBdr>
        <w:jc w:val="both"/>
        <w:rPr>
          <w:rFonts w:ascii="Roboto" w:eastAsia="Roboto" w:hAnsi="Roboto" w:cs="Roboto"/>
          <w:sz w:val="20"/>
          <w:szCs w:val="20"/>
        </w:rPr>
      </w:pPr>
      <w:r w:rsidRPr="006D622F">
        <w:rPr>
          <w:rFonts w:ascii="Roboto" w:eastAsia="Roboto" w:hAnsi="Roboto" w:cs="Roboto"/>
          <w:sz w:val="20"/>
          <w:szCs w:val="20"/>
        </w:rPr>
        <w:t>Los resultados muestran niveles elevados de responsabilidad social en todas las dimensiones evaluadas. La dimensión relativa al planteamiento del ejercicio profesional desde el compromiso social presentó las puntuaciones más altas, lo que indica una marcada orientación ética hacia la futura práctica profesional y el bien común.</w:t>
      </w:r>
    </w:p>
    <w:p w14:paraId="551840EC" w14:textId="77777777" w:rsidR="006D622F" w:rsidRDefault="006D622F" w:rsidP="006D622F">
      <w:pPr>
        <w:pBdr>
          <w:top w:val="nil"/>
          <w:left w:val="nil"/>
          <w:bottom w:val="nil"/>
          <w:right w:val="nil"/>
          <w:between w:val="nil"/>
        </w:pBdr>
        <w:jc w:val="both"/>
        <w:rPr>
          <w:rFonts w:ascii="Roboto" w:eastAsia="Roboto" w:hAnsi="Roboto" w:cs="Roboto"/>
          <w:sz w:val="20"/>
          <w:szCs w:val="20"/>
        </w:rPr>
      </w:pPr>
      <w:r w:rsidRPr="006D622F">
        <w:rPr>
          <w:rFonts w:ascii="Roboto" w:eastAsia="Roboto" w:hAnsi="Roboto" w:cs="Roboto"/>
          <w:sz w:val="20"/>
          <w:szCs w:val="20"/>
        </w:rPr>
        <w:t>En contraste, aunque con valores igualmente altos, la dimensión vinculada a la práctica directa de servicio hacia grupos vulnerables presentó las puntuaciones relativamente más bajas, lo que sugiere una posible brecha entre la valoración conceptual del compromiso social y su implementación práctica.</w:t>
      </w:r>
    </w:p>
    <w:p w14:paraId="5AD8DAD4" w14:textId="5AE53E9D" w:rsidR="006D622F" w:rsidRDefault="006D622F" w:rsidP="006D622F">
      <w:pPr>
        <w:pBdr>
          <w:top w:val="nil"/>
          <w:left w:val="nil"/>
          <w:bottom w:val="nil"/>
          <w:right w:val="nil"/>
          <w:between w:val="nil"/>
        </w:pBdr>
        <w:jc w:val="both"/>
        <w:rPr>
          <w:rFonts w:ascii="Roboto" w:eastAsia="Roboto" w:hAnsi="Roboto" w:cs="Roboto"/>
          <w:sz w:val="20"/>
          <w:szCs w:val="20"/>
        </w:rPr>
      </w:pPr>
      <w:r w:rsidRPr="006D622F">
        <w:rPr>
          <w:rFonts w:ascii="Roboto" w:eastAsia="Roboto" w:hAnsi="Roboto" w:cs="Roboto"/>
          <w:sz w:val="20"/>
          <w:szCs w:val="20"/>
        </w:rPr>
        <w:t>El análisis inferencial evidenció diferencias estadísticamente significativas únicamente según la ocupación. Los estudiantes que combinan estudio y trabajo mostraron mayores niveles en variables relacionadas con conciencia social, dignidad humana, cambio personal y vínculo entre realización profesional y bienestar colectivo.</w:t>
      </w:r>
    </w:p>
    <w:p w14:paraId="0E962159" w14:textId="77777777" w:rsidR="000C325C" w:rsidRDefault="000C325C" w:rsidP="000C325C">
      <w:pPr>
        <w:jc w:val="both"/>
        <w:rPr>
          <w:rFonts w:ascii="Roboto" w:eastAsia="Roboto" w:hAnsi="Roboto" w:cs="Roboto"/>
          <w:sz w:val="20"/>
          <w:szCs w:val="20"/>
        </w:rPr>
      </w:pPr>
    </w:p>
    <w:p w14:paraId="35A82D68" w14:textId="77777777" w:rsidR="000C325C" w:rsidRDefault="000C325C" w:rsidP="000C325C">
      <w:pPr>
        <w:jc w:val="both"/>
        <w:rPr>
          <w:rFonts w:ascii="Roboto" w:eastAsia="Roboto" w:hAnsi="Roboto" w:cs="Roboto"/>
          <w:b/>
          <w:bCs/>
          <w:sz w:val="20"/>
          <w:szCs w:val="20"/>
        </w:rPr>
      </w:pPr>
      <w:r>
        <w:rPr>
          <w:rFonts w:ascii="Roboto" w:eastAsia="Roboto" w:hAnsi="Roboto" w:cs="Roboto"/>
          <w:b/>
          <w:bCs/>
          <w:sz w:val="20"/>
          <w:szCs w:val="20"/>
        </w:rPr>
        <w:t>Discusión</w:t>
      </w:r>
    </w:p>
    <w:p w14:paraId="0FE2AEB3" w14:textId="77777777" w:rsidR="000C325C" w:rsidRPr="000C325C" w:rsidRDefault="000C325C" w:rsidP="000C325C">
      <w:pPr>
        <w:jc w:val="both"/>
        <w:rPr>
          <w:rFonts w:ascii="Roboto" w:eastAsia="Roboto" w:hAnsi="Roboto" w:cs="Roboto"/>
          <w:b/>
          <w:bCs/>
          <w:sz w:val="10"/>
          <w:szCs w:val="10"/>
        </w:rPr>
      </w:pPr>
    </w:p>
    <w:p w14:paraId="285B7E7F" w14:textId="77777777" w:rsidR="006D622F" w:rsidRPr="006D622F" w:rsidRDefault="006D622F" w:rsidP="006D622F">
      <w:pPr>
        <w:jc w:val="both"/>
        <w:rPr>
          <w:rFonts w:ascii="Roboto" w:eastAsia="Roboto" w:hAnsi="Roboto" w:cs="Roboto"/>
          <w:sz w:val="20"/>
          <w:szCs w:val="20"/>
        </w:rPr>
      </w:pPr>
      <w:r w:rsidRPr="006D622F">
        <w:rPr>
          <w:rFonts w:ascii="Roboto" w:eastAsia="Roboto" w:hAnsi="Roboto" w:cs="Roboto"/>
          <w:sz w:val="20"/>
          <w:szCs w:val="20"/>
        </w:rPr>
        <w:t xml:space="preserve">Los hallazgos confirman una alta valoración de la responsabilidad social en el estudiantado, especialmente en su dimensión proyectiva profesional, en coherencia con estudios que destacan la relevancia de integrar ética y compromiso comunitario en la </w:t>
      </w:r>
      <w:r w:rsidRPr="006D622F">
        <w:rPr>
          <w:rFonts w:ascii="Roboto" w:eastAsia="Roboto" w:hAnsi="Roboto" w:cs="Roboto"/>
          <w:sz w:val="20"/>
          <w:szCs w:val="20"/>
        </w:rPr>
        <w:lastRenderedPageBreak/>
        <w:t>formación universitaria (Ali et al., 2021; Yakut et al., 2025). Asimismo, la centralidad del ejercicio profesional como espacio de transformación social coincide con planteamientos sobre identidad moral y sentido de comunidad (Bartolo et al., 2023).</w:t>
      </w:r>
    </w:p>
    <w:p w14:paraId="59108E59" w14:textId="77777777" w:rsidR="006D622F" w:rsidRPr="006D622F" w:rsidRDefault="006D622F" w:rsidP="006D622F">
      <w:pPr>
        <w:jc w:val="both"/>
        <w:rPr>
          <w:rFonts w:ascii="Roboto" w:eastAsia="Roboto" w:hAnsi="Roboto" w:cs="Roboto"/>
          <w:sz w:val="20"/>
          <w:szCs w:val="20"/>
        </w:rPr>
      </w:pPr>
      <w:r w:rsidRPr="006D622F">
        <w:rPr>
          <w:rFonts w:ascii="Roboto" w:eastAsia="Roboto" w:hAnsi="Roboto" w:cs="Roboto"/>
          <w:sz w:val="20"/>
          <w:szCs w:val="20"/>
        </w:rPr>
        <w:t>No obstante, la menor valoración relativa en prácticas directas de servicio refleja una tensión entre reflexión conceptual y acción concreta, fenómeno identificado en estudios sobre responsabilidad social institucional (Cabanzo et al., 2024). Este resultado sugiere la necesidad de fortalecer estrategias pedagógicas experienciales que articulen reflexión ética y vinculación comunitaria.</w:t>
      </w:r>
    </w:p>
    <w:p w14:paraId="6C7C66ED" w14:textId="6B31DFB8" w:rsidR="00C96E3D" w:rsidRDefault="006D622F" w:rsidP="006D622F">
      <w:pPr>
        <w:jc w:val="both"/>
        <w:rPr>
          <w:rFonts w:ascii="Roboto" w:eastAsia="Roboto" w:hAnsi="Roboto" w:cs="Roboto"/>
          <w:sz w:val="20"/>
          <w:szCs w:val="20"/>
        </w:rPr>
      </w:pPr>
      <w:r w:rsidRPr="006D622F">
        <w:rPr>
          <w:rFonts w:ascii="Roboto" w:eastAsia="Roboto" w:hAnsi="Roboto" w:cs="Roboto"/>
          <w:sz w:val="20"/>
          <w:szCs w:val="20"/>
        </w:rPr>
        <w:t>Las diferencias observadas según ocupación son consistentes con investigaciones que indican que la exposición a contextos laborales puede potenciar la internalización de valores prosociales (Nazneen et al., 2023), así como con estudios latinoamericanos que evidencian variaciones contextuales en la percepción de la RSU (Severino-González et al., 2023).</w:t>
      </w:r>
    </w:p>
    <w:p w14:paraId="59D6AE36" w14:textId="77777777" w:rsidR="006D622F" w:rsidRDefault="006D622F" w:rsidP="006D622F">
      <w:pPr>
        <w:jc w:val="both"/>
        <w:rPr>
          <w:rFonts w:ascii="Roboto" w:eastAsia="Roboto" w:hAnsi="Roboto" w:cs="Roboto"/>
          <w:sz w:val="20"/>
          <w:szCs w:val="20"/>
        </w:rPr>
      </w:pPr>
    </w:p>
    <w:p w14:paraId="16805527" w14:textId="77777777" w:rsidR="00C96E3D" w:rsidRDefault="00000000">
      <w:pPr>
        <w:jc w:val="both"/>
        <w:rPr>
          <w:rFonts w:ascii="Roboto" w:eastAsia="Roboto" w:hAnsi="Roboto" w:cs="Roboto"/>
          <w:b/>
          <w:bCs/>
          <w:sz w:val="20"/>
          <w:szCs w:val="20"/>
        </w:rPr>
      </w:pPr>
      <w:r>
        <w:rPr>
          <w:rFonts w:ascii="Roboto" w:eastAsia="Roboto" w:hAnsi="Roboto" w:cs="Roboto"/>
          <w:b/>
          <w:bCs/>
          <w:sz w:val="20"/>
          <w:szCs w:val="20"/>
        </w:rPr>
        <w:t>Conclusión</w:t>
      </w:r>
    </w:p>
    <w:p w14:paraId="7E800692" w14:textId="77777777" w:rsidR="000C325C" w:rsidRDefault="000C325C">
      <w:pPr>
        <w:jc w:val="both"/>
        <w:rPr>
          <w:rFonts w:ascii="Roboto" w:eastAsia="Roboto" w:hAnsi="Roboto" w:cs="Roboto"/>
          <w:b/>
          <w:bCs/>
          <w:sz w:val="20"/>
          <w:szCs w:val="20"/>
        </w:rPr>
      </w:pPr>
    </w:p>
    <w:p w14:paraId="3397723A" w14:textId="77777777" w:rsidR="006D622F" w:rsidRPr="006D622F" w:rsidRDefault="006D622F" w:rsidP="006D622F">
      <w:pPr>
        <w:jc w:val="both"/>
        <w:rPr>
          <w:rFonts w:ascii="Roboto" w:eastAsia="Roboto" w:hAnsi="Roboto" w:cs="Roboto"/>
          <w:sz w:val="20"/>
          <w:szCs w:val="20"/>
        </w:rPr>
      </w:pPr>
      <w:r w:rsidRPr="006D622F">
        <w:rPr>
          <w:rFonts w:ascii="Roboto" w:eastAsia="Roboto" w:hAnsi="Roboto" w:cs="Roboto"/>
          <w:sz w:val="20"/>
          <w:szCs w:val="20"/>
        </w:rPr>
        <w:t>El estudio evidencia que los estudiantes valoran significativamente la responsabilidad social, particularmente en su proyección profesional orientada al bien común. Este hallazgo respalda la pertinencia del modelo formativo institucional y su coherencia con los principios de sostenibilidad y ética universitaria.</w:t>
      </w:r>
    </w:p>
    <w:p w14:paraId="5405E001" w14:textId="77777777" w:rsidR="006D622F" w:rsidRPr="006D622F" w:rsidRDefault="006D622F" w:rsidP="006D622F">
      <w:pPr>
        <w:jc w:val="both"/>
        <w:rPr>
          <w:rFonts w:ascii="Roboto" w:eastAsia="Roboto" w:hAnsi="Roboto" w:cs="Roboto"/>
          <w:sz w:val="20"/>
          <w:szCs w:val="20"/>
        </w:rPr>
      </w:pPr>
      <w:r w:rsidRPr="006D622F">
        <w:rPr>
          <w:rFonts w:ascii="Roboto" w:eastAsia="Roboto" w:hAnsi="Roboto" w:cs="Roboto"/>
          <w:sz w:val="20"/>
          <w:szCs w:val="20"/>
        </w:rPr>
        <w:t>Sin embargo, persiste una brecha entre la valoración conceptual del compromiso social y su práctica directa, lo que demanda fortalecer experiencias formativas orientadas a la acción. Asimismo, las diferencias según ocupación subrayan la importancia de considerar las trayectorias personales en el diseño de estrategias educativas.</w:t>
      </w:r>
    </w:p>
    <w:p w14:paraId="7D958033" w14:textId="54C13A6D" w:rsidR="000C325C" w:rsidRDefault="00AC5C70" w:rsidP="006D622F">
      <w:pPr>
        <w:jc w:val="both"/>
        <w:rPr>
          <w:rFonts w:ascii="Roboto" w:eastAsia="Roboto" w:hAnsi="Roboto" w:cs="Roboto"/>
          <w:sz w:val="20"/>
          <w:szCs w:val="20"/>
        </w:rPr>
      </w:pPr>
      <w:r>
        <w:rPr>
          <w:rFonts w:ascii="Roboto" w:eastAsia="Roboto" w:hAnsi="Roboto" w:cs="Roboto"/>
          <w:sz w:val="20"/>
          <w:szCs w:val="20"/>
        </w:rPr>
        <w:t>En suma</w:t>
      </w:r>
      <w:r w:rsidR="006D622F" w:rsidRPr="006D622F">
        <w:rPr>
          <w:rFonts w:ascii="Roboto" w:eastAsia="Roboto" w:hAnsi="Roboto" w:cs="Roboto"/>
          <w:sz w:val="20"/>
          <w:szCs w:val="20"/>
        </w:rPr>
        <w:t>, la investigación aporta evidencia empírica para la evaluación continua del modelo educativo y abre la posibilidad de desarrollar estudios longitudinales que profundicen en la evolución de la responsabilidad social a lo largo del proceso formativo universitario.</w:t>
      </w:r>
    </w:p>
    <w:p w14:paraId="5180A394" w14:textId="77777777" w:rsidR="006D622F" w:rsidRDefault="006D622F" w:rsidP="006D622F">
      <w:pPr>
        <w:jc w:val="both"/>
        <w:rPr>
          <w:rFonts w:ascii="Roboto" w:eastAsia="Roboto" w:hAnsi="Roboto" w:cs="Roboto"/>
          <w:sz w:val="20"/>
          <w:szCs w:val="20"/>
        </w:rPr>
      </w:pPr>
    </w:p>
    <w:p w14:paraId="2A7634B6" w14:textId="77777777" w:rsidR="00C96E3D" w:rsidRDefault="00000000">
      <w:pPr>
        <w:jc w:val="both"/>
        <w:rPr>
          <w:rFonts w:ascii="Roboto" w:eastAsia="Roboto" w:hAnsi="Roboto" w:cs="Roboto"/>
          <w:b/>
          <w:bCs/>
          <w:sz w:val="20"/>
          <w:szCs w:val="20"/>
        </w:rPr>
      </w:pPr>
      <w:r>
        <w:rPr>
          <w:rFonts w:ascii="Roboto" w:eastAsia="Roboto" w:hAnsi="Roboto" w:cs="Roboto"/>
          <w:b/>
          <w:bCs/>
          <w:sz w:val="20"/>
          <w:szCs w:val="20"/>
        </w:rPr>
        <w:t>REFERENCIAS (Formato APA)</w:t>
      </w:r>
    </w:p>
    <w:p w14:paraId="08312746" w14:textId="77777777" w:rsidR="000C325C" w:rsidRDefault="000C325C">
      <w:pPr>
        <w:jc w:val="both"/>
        <w:rPr>
          <w:rFonts w:ascii="Roboto" w:eastAsia="Roboto" w:hAnsi="Roboto" w:cs="Roboto"/>
          <w:sz w:val="20"/>
          <w:szCs w:val="20"/>
        </w:rPr>
      </w:pPr>
    </w:p>
    <w:p w14:paraId="10CF3A0B" w14:textId="4DC20F4D" w:rsidR="000C325C" w:rsidRDefault="000C325C" w:rsidP="000C325C">
      <w:pPr>
        <w:jc w:val="both"/>
        <w:rPr>
          <w:rFonts w:ascii="Roboto" w:eastAsia="Roboto" w:hAnsi="Roboto" w:cs="Roboto"/>
          <w:sz w:val="20"/>
          <w:szCs w:val="20"/>
        </w:rPr>
      </w:pPr>
      <w:r w:rsidRPr="000C325C">
        <w:rPr>
          <w:rFonts w:ascii="Roboto" w:eastAsia="Roboto" w:hAnsi="Roboto" w:cs="Roboto"/>
          <w:sz w:val="20"/>
          <w:szCs w:val="20"/>
        </w:rPr>
        <w:t xml:space="preserve">Ali, M., Mustapha, I., Osman, S., &amp; Hassan, U. (2021). University social responsibility: A review of conceptual evolution and its thematic analysis. Journal of Cleaner Production, 286, 124931. </w:t>
      </w:r>
      <w:hyperlink r:id="rId9" w:history="1">
        <w:r w:rsidR="00AC5C70" w:rsidRPr="00BD4212">
          <w:rPr>
            <w:rStyle w:val="Hipervnculo"/>
            <w:rFonts w:ascii="Roboto" w:eastAsia="Roboto" w:hAnsi="Roboto" w:cs="Roboto"/>
            <w:sz w:val="20"/>
            <w:szCs w:val="20"/>
          </w:rPr>
          <w:t>https://doi.org/10.1016/j.jclepro.2020.124931</w:t>
        </w:r>
      </w:hyperlink>
    </w:p>
    <w:p w14:paraId="4309598F" w14:textId="77777777" w:rsidR="00AC5C70" w:rsidRPr="000C325C" w:rsidRDefault="00AC5C70" w:rsidP="000C325C">
      <w:pPr>
        <w:jc w:val="both"/>
        <w:rPr>
          <w:rFonts w:ascii="Roboto" w:eastAsia="Roboto" w:hAnsi="Roboto" w:cs="Roboto"/>
          <w:sz w:val="20"/>
          <w:szCs w:val="20"/>
        </w:rPr>
      </w:pPr>
    </w:p>
    <w:p w14:paraId="78F275BC" w14:textId="5B5D137A" w:rsidR="000C325C" w:rsidRPr="000C325C" w:rsidRDefault="000C325C" w:rsidP="000C325C">
      <w:pPr>
        <w:jc w:val="both"/>
        <w:rPr>
          <w:rFonts w:ascii="Roboto" w:eastAsia="Roboto" w:hAnsi="Roboto" w:cs="Roboto"/>
          <w:sz w:val="20"/>
          <w:szCs w:val="20"/>
        </w:rPr>
      </w:pPr>
      <w:r w:rsidRPr="000C325C">
        <w:rPr>
          <w:rFonts w:ascii="Roboto" w:eastAsia="Roboto" w:hAnsi="Roboto" w:cs="Roboto"/>
          <w:sz w:val="20"/>
          <w:szCs w:val="20"/>
        </w:rPr>
        <w:t>Garbizo Flores, N., Ordaz Fernández, M., &amp; Hernández Martín, J. C. (2021). University social responsibility and educational work: A necessary relationship in professional training. Mendive. Revista de Educación, 19(1), 321–333.</w:t>
      </w:r>
    </w:p>
    <w:p w14:paraId="03F8535E" w14:textId="77777777" w:rsidR="000C325C" w:rsidRDefault="000C325C" w:rsidP="000C325C">
      <w:pPr>
        <w:jc w:val="both"/>
        <w:rPr>
          <w:rFonts w:ascii="Roboto" w:eastAsia="Roboto" w:hAnsi="Roboto" w:cs="Roboto"/>
          <w:sz w:val="20"/>
          <w:szCs w:val="20"/>
        </w:rPr>
      </w:pPr>
    </w:p>
    <w:p w14:paraId="089BA0EA" w14:textId="1985FACE" w:rsidR="000C325C" w:rsidRDefault="000C325C" w:rsidP="000C325C">
      <w:pPr>
        <w:jc w:val="both"/>
        <w:rPr>
          <w:rFonts w:ascii="Roboto" w:eastAsia="Roboto" w:hAnsi="Roboto" w:cs="Roboto"/>
          <w:sz w:val="20"/>
          <w:szCs w:val="20"/>
        </w:rPr>
      </w:pPr>
      <w:r w:rsidRPr="000C325C">
        <w:rPr>
          <w:rFonts w:ascii="Roboto" w:eastAsia="Roboto" w:hAnsi="Roboto" w:cs="Roboto"/>
          <w:sz w:val="20"/>
          <w:szCs w:val="20"/>
        </w:rPr>
        <w:t xml:space="preserve">Godonoga, A., &amp; Sporn, B. (2023). The conceptualisation of socially responsible universities in higher education research: A systematic literature review. Studies in Higher Education, 48(3), 445–459. </w:t>
      </w:r>
      <w:hyperlink r:id="rId10" w:history="1">
        <w:r w:rsidR="00AC5C70" w:rsidRPr="00BD4212">
          <w:rPr>
            <w:rStyle w:val="Hipervnculo"/>
            <w:rFonts w:ascii="Roboto" w:eastAsia="Roboto" w:hAnsi="Roboto" w:cs="Roboto"/>
            <w:sz w:val="20"/>
            <w:szCs w:val="20"/>
          </w:rPr>
          <w:t>https://doi.org/10.1080/03075079.2022.2145462</w:t>
        </w:r>
      </w:hyperlink>
    </w:p>
    <w:p w14:paraId="5578EEF9" w14:textId="1651D6DF" w:rsidR="000C325C" w:rsidRDefault="000C325C" w:rsidP="000C325C">
      <w:pPr>
        <w:jc w:val="both"/>
        <w:rPr>
          <w:rFonts w:ascii="Roboto" w:eastAsia="Roboto" w:hAnsi="Roboto" w:cs="Roboto"/>
          <w:sz w:val="20"/>
          <w:szCs w:val="20"/>
        </w:rPr>
      </w:pPr>
      <w:r w:rsidRPr="000C325C">
        <w:rPr>
          <w:rFonts w:ascii="Roboto" w:eastAsia="Roboto" w:hAnsi="Roboto" w:cs="Roboto"/>
          <w:sz w:val="20"/>
          <w:szCs w:val="20"/>
        </w:rPr>
        <w:t xml:space="preserve">Gallardo-Vázquez, D., Severino-González, P., et al. (2024). Empathy and solidarity as a bridge between sustainable development goals and strategic management of higher education institutions. Oeconomia Copernicana, 15(3), 925–956. </w:t>
      </w:r>
      <w:hyperlink r:id="rId11" w:history="1">
        <w:r w:rsidR="00AC5C70" w:rsidRPr="00BD4212">
          <w:rPr>
            <w:rStyle w:val="Hipervnculo"/>
            <w:rFonts w:ascii="Roboto" w:eastAsia="Roboto" w:hAnsi="Roboto" w:cs="Roboto"/>
            <w:sz w:val="20"/>
            <w:szCs w:val="20"/>
          </w:rPr>
          <w:t>https://doi.org/10.24136/oc.2975</w:t>
        </w:r>
      </w:hyperlink>
    </w:p>
    <w:p w14:paraId="7738F90C" w14:textId="77777777" w:rsidR="00AC5C70" w:rsidRPr="000C325C" w:rsidRDefault="00AC5C70" w:rsidP="000C325C">
      <w:pPr>
        <w:jc w:val="both"/>
        <w:rPr>
          <w:rFonts w:ascii="Roboto" w:eastAsia="Roboto" w:hAnsi="Roboto" w:cs="Roboto"/>
          <w:sz w:val="20"/>
          <w:szCs w:val="20"/>
        </w:rPr>
      </w:pPr>
    </w:p>
    <w:p w14:paraId="1B74A89E" w14:textId="3B00B312" w:rsidR="000C325C" w:rsidRDefault="000C325C" w:rsidP="000C325C">
      <w:pPr>
        <w:jc w:val="both"/>
        <w:rPr>
          <w:rFonts w:ascii="Roboto" w:eastAsia="Roboto" w:hAnsi="Roboto" w:cs="Roboto"/>
          <w:sz w:val="20"/>
          <w:szCs w:val="20"/>
        </w:rPr>
      </w:pPr>
      <w:r w:rsidRPr="000C325C">
        <w:rPr>
          <w:rFonts w:ascii="Roboto" w:eastAsia="Roboto" w:hAnsi="Roboto" w:cs="Roboto"/>
          <w:sz w:val="20"/>
          <w:szCs w:val="20"/>
        </w:rPr>
        <w:t xml:space="preserve">Yakut, E., Küçükbay, F., &amp; Gökbunar, R. (2025). Understanding student perceptions on university social responsibility and student–university identification. European Journal of Education, 60, e70113. </w:t>
      </w:r>
      <w:hyperlink r:id="rId12" w:history="1">
        <w:r w:rsidR="00AC5C70" w:rsidRPr="00BD4212">
          <w:rPr>
            <w:rStyle w:val="Hipervnculo"/>
            <w:rFonts w:ascii="Roboto" w:eastAsia="Roboto" w:hAnsi="Roboto" w:cs="Roboto"/>
            <w:sz w:val="20"/>
            <w:szCs w:val="20"/>
          </w:rPr>
          <w:t>https://doi.org/10.1111/ejed.70113</w:t>
        </w:r>
      </w:hyperlink>
    </w:p>
    <w:p w14:paraId="0F049646" w14:textId="77777777" w:rsidR="00AC5C70" w:rsidRPr="000C325C" w:rsidRDefault="00AC5C70" w:rsidP="000C325C">
      <w:pPr>
        <w:jc w:val="both"/>
        <w:rPr>
          <w:rFonts w:ascii="Roboto" w:eastAsia="Roboto" w:hAnsi="Roboto" w:cs="Roboto"/>
          <w:sz w:val="20"/>
          <w:szCs w:val="20"/>
        </w:rPr>
      </w:pPr>
    </w:p>
    <w:p w14:paraId="657566ED" w14:textId="1F884D56" w:rsidR="000C325C" w:rsidRDefault="000C325C" w:rsidP="000C325C">
      <w:pPr>
        <w:jc w:val="both"/>
        <w:rPr>
          <w:rFonts w:ascii="Roboto" w:eastAsia="Roboto" w:hAnsi="Roboto" w:cs="Roboto"/>
          <w:sz w:val="20"/>
          <w:szCs w:val="20"/>
        </w:rPr>
      </w:pPr>
      <w:r w:rsidRPr="000C325C">
        <w:rPr>
          <w:rFonts w:ascii="Roboto" w:eastAsia="Roboto" w:hAnsi="Roboto" w:cs="Roboto"/>
          <w:sz w:val="20"/>
          <w:szCs w:val="20"/>
        </w:rPr>
        <w:t xml:space="preserve">Bartolo, M. G., Palermiti, A. L., Servidio, R., &amp; Costabile, A. (2023). “I feel good, I am a part of the community”: Social responsibility values and prosocial behaviors during adolescence, and their effects on well-being. Sustainability, 15(23), 16207. </w:t>
      </w:r>
      <w:hyperlink r:id="rId13" w:history="1">
        <w:r w:rsidR="00AC5C70" w:rsidRPr="00BD4212">
          <w:rPr>
            <w:rStyle w:val="Hipervnculo"/>
            <w:rFonts w:ascii="Roboto" w:eastAsia="Roboto" w:hAnsi="Roboto" w:cs="Roboto"/>
            <w:sz w:val="20"/>
            <w:szCs w:val="20"/>
          </w:rPr>
          <w:t>https://doi.org/10.3390/su152316207</w:t>
        </w:r>
      </w:hyperlink>
    </w:p>
    <w:p w14:paraId="2514E4E1" w14:textId="77777777" w:rsidR="00AC5C70" w:rsidRPr="000C325C" w:rsidRDefault="00AC5C70" w:rsidP="000C325C">
      <w:pPr>
        <w:jc w:val="both"/>
        <w:rPr>
          <w:rFonts w:ascii="Roboto" w:eastAsia="Roboto" w:hAnsi="Roboto" w:cs="Roboto"/>
          <w:sz w:val="20"/>
          <w:szCs w:val="20"/>
        </w:rPr>
      </w:pPr>
    </w:p>
    <w:p w14:paraId="72C7174A" w14:textId="18ED52BD" w:rsidR="00C96E3D" w:rsidRDefault="000C325C" w:rsidP="000C325C">
      <w:pPr>
        <w:jc w:val="both"/>
        <w:rPr>
          <w:rFonts w:ascii="Roboto" w:eastAsia="Roboto" w:hAnsi="Roboto" w:cs="Roboto"/>
          <w:sz w:val="20"/>
          <w:szCs w:val="20"/>
        </w:rPr>
      </w:pPr>
      <w:r w:rsidRPr="000C325C">
        <w:rPr>
          <w:rFonts w:ascii="Roboto" w:eastAsia="Roboto" w:hAnsi="Roboto" w:cs="Roboto"/>
          <w:sz w:val="20"/>
          <w:szCs w:val="20"/>
        </w:rPr>
        <w:t xml:space="preserve">Severino-González, P., Pérez-Espinoza, M. J., Sarmiento-Peralta, G., &amp; Uzcátegui-Sánchez, C. (2024). Responsabilidad social universitaria y autodeterminación de los estudiantes universitarios de Ecuador. Formación Universitaria, 17(3), 1–10. </w:t>
      </w:r>
      <w:hyperlink r:id="rId14" w:history="1">
        <w:r w:rsidR="00AC5C70" w:rsidRPr="00BD4212">
          <w:rPr>
            <w:rStyle w:val="Hipervnculo"/>
            <w:rFonts w:ascii="Roboto" w:eastAsia="Roboto" w:hAnsi="Roboto" w:cs="Roboto"/>
            <w:sz w:val="20"/>
            <w:szCs w:val="20"/>
          </w:rPr>
          <w:t>http://dx.doi.org/10.4067/s0718-50062024000300001</w:t>
        </w:r>
      </w:hyperlink>
    </w:p>
    <w:p w14:paraId="5F42CC8C" w14:textId="77777777" w:rsidR="00AC5C70" w:rsidRDefault="00AC5C70" w:rsidP="000C325C">
      <w:pPr>
        <w:jc w:val="both"/>
        <w:rPr>
          <w:rFonts w:ascii="Roboto" w:eastAsia="Roboto" w:hAnsi="Roboto" w:cs="Roboto"/>
          <w:sz w:val="20"/>
          <w:szCs w:val="20"/>
        </w:rPr>
      </w:pPr>
    </w:p>
    <w:sectPr w:rsidR="00AC5C70">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362025" w14:textId="77777777" w:rsidR="00716792" w:rsidRDefault="00716792">
      <w:r>
        <w:separator/>
      </w:r>
    </w:p>
  </w:endnote>
  <w:endnote w:type="continuationSeparator" w:id="0">
    <w:p w14:paraId="23DE2F9E" w14:textId="77777777" w:rsidR="00716792" w:rsidRDefault="007167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4F2A46F8-E957-0A40-89E5-D8D67DD8F6BE}"/>
    <w:embedBold r:id="rId2" w:fontKey="{2BE36438-1FF6-3E4D-B97D-041DA90EB0CA}"/>
    <w:embedItalic r:id="rId3" w:fontKey="{3FC09CFA-B433-EB49-BEC7-4B29FF9E3119}"/>
  </w:font>
  <w:font w:name="Calibri">
    <w:panose1 w:val="020F0502020204030204"/>
    <w:charset w:val="00"/>
    <w:family w:val="swiss"/>
    <w:pitch w:val="variable"/>
    <w:sig w:usb0="E0002AFF" w:usb1="C000247B" w:usb2="00000009" w:usb3="00000000" w:csb0="000001FF" w:csb1="00000000"/>
    <w:embedRegular r:id="rId4" w:fontKey="{5BFFD286-3334-7E41-8C94-55F55E9C3123}"/>
  </w:font>
  <w:font w:name="Georgia">
    <w:panose1 w:val="02040502050405020303"/>
    <w:charset w:val="00"/>
    <w:family w:val="roman"/>
    <w:pitch w:val="variable"/>
    <w:sig w:usb0="00000287" w:usb1="00000000" w:usb2="00000000" w:usb3="00000000" w:csb0="0000009F" w:csb1="00000000"/>
    <w:embedItalic r:id="rId5" w:fontKey="{E3B9AACF-212B-6E45-8FE9-D96C02F659B6}"/>
  </w:font>
  <w:font w:name="Roboto">
    <w:panose1 w:val="02000000000000000000"/>
    <w:charset w:val="00"/>
    <w:family w:val="auto"/>
    <w:pitch w:val="variable"/>
    <w:sig w:usb0="E0000AFF" w:usb1="5000217F" w:usb2="00000021" w:usb3="00000000" w:csb0="0000019F" w:csb1="00000000"/>
    <w:embedRegular r:id="rId6" w:fontKey="{B0F61DCB-CF3E-AF46-BA7D-5ED0ABCF0994}"/>
    <w:embedBold r:id="rId7" w:fontKey="{F8DA1469-90C0-C843-9C09-18D45819A420}"/>
  </w:font>
  <w:font w:name="Arial">
    <w:panose1 w:val="020B0604020202020204"/>
    <w:charset w:val="00"/>
    <w:family w:val="swiss"/>
    <w:pitch w:val="variable"/>
    <w:sig w:usb0="E0002AFF" w:usb1="C0007843" w:usb2="00000009" w:usb3="00000000" w:csb0="000001FF" w:csb1="00000000"/>
    <w:embedRegular r:id="rId8" w:fontKey="{F218CB76-4336-4B4A-8507-C1C5F5BA17E9}"/>
    <w:embedBold r:id="rId9" w:fontKey="{C5A74927-819E-EF4E-9F5D-567D59FB8278}"/>
  </w:font>
  <w:font w:name="Calibri Light">
    <w:panose1 w:val="020F0302020204030204"/>
    <w:charset w:val="00"/>
    <w:family w:val="swiss"/>
    <w:pitch w:val="variable"/>
    <w:sig w:usb0="E0002AFF" w:usb1="C000247B" w:usb2="00000009" w:usb3="00000000" w:csb0="000001FF" w:csb1="00000000"/>
    <w:embedRegular r:id="rId10" w:fontKey="{A90D7B75-6D07-AB45-A231-6C811B929719}"/>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2A92DB" w14:textId="77777777" w:rsidR="00716792" w:rsidRDefault="00716792">
      <w:r>
        <w:separator/>
      </w:r>
    </w:p>
  </w:footnote>
  <w:footnote w:type="continuationSeparator" w:id="0">
    <w:p w14:paraId="032C942C" w14:textId="77777777" w:rsidR="00716792" w:rsidRDefault="007167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D45DAD" w14:textId="77777777" w:rsidR="00C96E3D" w:rsidRDefault="00C96E3D">
    <w:pPr>
      <w:widowControl w:val="0"/>
      <w:pBdr>
        <w:top w:val="nil"/>
        <w:left w:val="nil"/>
        <w:bottom w:val="nil"/>
        <w:right w:val="nil"/>
        <w:between w:val="nil"/>
      </w:pBdr>
      <w:spacing w:line="276" w:lineRule="auto"/>
      <w:rPr>
        <w:rFonts w:ascii="Roboto" w:eastAsia="Roboto" w:hAnsi="Roboto" w:cs="Roboto"/>
      </w:rPr>
    </w:pPr>
  </w:p>
  <w:tbl>
    <w:tblPr>
      <w:tblStyle w:val="a3"/>
      <w:tblW w:w="6306" w:type="dxa"/>
      <w:jc w:val="center"/>
      <w:tblInd w:w="0" w:type="dxa"/>
      <w:tblLayout w:type="fixed"/>
      <w:tblLook w:val="0400" w:firstRow="0" w:lastRow="0" w:firstColumn="0" w:lastColumn="0" w:noHBand="0" w:noVBand="1"/>
    </w:tblPr>
    <w:tblGrid>
      <w:gridCol w:w="6306"/>
    </w:tblGrid>
    <w:tr w:rsidR="00C96E3D" w14:paraId="1321DD00" w14:textId="77777777">
      <w:trPr>
        <w:trHeight w:val="345"/>
        <w:jc w:val="center"/>
      </w:trPr>
      <w:tc>
        <w:tcPr>
          <w:tcW w:w="6306" w:type="dxa"/>
          <w:vAlign w:val="center"/>
        </w:tcPr>
        <w:p w14:paraId="6A1A6F04" w14:textId="77777777" w:rsidR="00C96E3D" w:rsidRDefault="00C96E3D">
          <w:pPr>
            <w:jc w:val="center"/>
            <w:rPr>
              <w:i/>
              <w:iCs/>
              <w:sz w:val="18"/>
              <w:szCs w:val="18"/>
            </w:rPr>
          </w:pPr>
        </w:p>
      </w:tc>
    </w:tr>
  </w:tbl>
  <w:p w14:paraId="1527F5BC" w14:textId="77777777" w:rsidR="00C96E3D" w:rsidRDefault="00C96E3D">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7"/>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E3D"/>
    <w:rsid w:val="00082680"/>
    <w:rsid w:val="000C325C"/>
    <w:rsid w:val="002A044C"/>
    <w:rsid w:val="00476B8B"/>
    <w:rsid w:val="005E66F6"/>
    <w:rsid w:val="006D622F"/>
    <w:rsid w:val="00716792"/>
    <w:rsid w:val="00836967"/>
    <w:rsid w:val="008C5FF2"/>
    <w:rsid w:val="009B1951"/>
    <w:rsid w:val="00AC5C70"/>
    <w:rsid w:val="00C86924"/>
    <w:rsid w:val="00C96E3D"/>
    <w:rsid w:val="00D34E12"/>
    <w:rsid w:val="00F54FD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42CD16"/>
  <w15:docId w15:val="{DB2B3B39-D554-D24C-97D8-03A4FFF64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table" w:customStyle="1" w:styleId="TableNormal1">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3">
    <w:basedOn w:val="TableNormal1"/>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3390/su152316207" TargetMode="External"/><Relationship Id="rId3" Type="http://schemas.openxmlformats.org/officeDocument/2006/relationships/settings" Target="settings.xml"/><Relationship Id="rId7" Type="http://schemas.openxmlformats.org/officeDocument/2006/relationships/hyperlink" Target="https://orcid.org/0009-0002-9481-631X" TargetMode="External"/><Relationship Id="rId12" Type="http://schemas.openxmlformats.org/officeDocument/2006/relationships/hyperlink" Target="https://doi.org/10.1111/ejed.70113"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oi.org/10.24136/oc.2975"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doi.org/10.1080/03075079.2022.2145462" TargetMode="External"/><Relationship Id="rId4" Type="http://schemas.openxmlformats.org/officeDocument/2006/relationships/webSettings" Target="webSettings.xml"/><Relationship Id="rId9" Type="http://schemas.openxmlformats.org/officeDocument/2006/relationships/hyperlink" Target="https://doi.org/10.1016/j.jclepro.2020.124931" TargetMode="External"/><Relationship Id="rId14" Type="http://schemas.openxmlformats.org/officeDocument/2006/relationships/hyperlink" Target="http://dx.doi.org/10.4067/s0718-50062024000300001"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4DOWsftxj7kwdGJcxhsb3IaAjjg==">CgMxLjA4AHIhMW96WXM4Y0wzMjJ4YjNwaERXMUZEelVvTUt1R0dGWFU2</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2</Pages>
  <Words>1339</Words>
  <Characters>7958</Characters>
  <Application>Microsoft Office Word</Application>
  <DocSecurity>0</DocSecurity>
  <Lines>194</Lines>
  <Paragraphs>28</Paragraphs>
  <ScaleCrop>false</ScaleCrop>
  <HeadingPairs>
    <vt:vector size="2" baseType="variant">
      <vt:variant>
        <vt:lpstr>Título</vt:lpstr>
      </vt:variant>
      <vt:variant>
        <vt:i4>1</vt:i4>
      </vt:variant>
    </vt:vector>
  </HeadingPairs>
  <TitlesOfParts>
    <vt:vector size="1" baseType="lpstr">
      <vt:lpstr/>
    </vt:vector>
  </TitlesOfParts>
  <Manager/>
  <Company/>
  <LinksUpToDate>false</LinksUpToDate>
  <CharactersWithSpaces>9269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LORENA MIRANDA NAVARRO</cp:lastModifiedBy>
  <cp:revision>9</cp:revision>
  <dcterms:created xsi:type="dcterms:W3CDTF">2026-02-26T22:30:00Z</dcterms:created>
  <dcterms:modified xsi:type="dcterms:W3CDTF">2026-02-26T23:37:00Z</dcterms:modified>
  <cp:category/>
</cp:coreProperties>
</file>