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F90EAC" w14:textId="1B3E2827" w:rsidR="00B47A97" w:rsidRDefault="0053096E">
      <w:pPr>
        <w:pBdr>
          <w:top w:val="nil"/>
          <w:left w:val="nil"/>
          <w:bottom w:val="nil"/>
          <w:right w:val="nil"/>
          <w:between w:val="nil"/>
        </w:pBdr>
        <w:spacing w:before="120" w:after="120"/>
        <w:jc w:val="center"/>
        <w:rPr>
          <w:rFonts w:ascii="Roboto" w:eastAsia="Roboto" w:hAnsi="Roboto" w:cs="Roboto"/>
          <w:b/>
          <w:color w:val="000000"/>
        </w:rPr>
      </w:pPr>
      <w:r w:rsidRPr="0053096E">
        <w:rPr>
          <w:rFonts w:ascii="Roboto" w:eastAsia="Roboto" w:hAnsi="Roboto" w:cs="Roboto"/>
          <w:b/>
          <w:color w:val="000000"/>
        </w:rPr>
        <w:t>Reconceptualización sistémica del liderazgo de acción positiva y propuesta del liderazgo del bien común en universidades</w:t>
      </w:r>
    </w:p>
    <w:p w14:paraId="06F90EAD" w14:textId="500B2608" w:rsidR="00B47A97" w:rsidRDefault="0053096E">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Gutiérrez-González</w:t>
      </w:r>
      <w:r w:rsidR="00AD3E57">
        <w:rPr>
          <w:rFonts w:ascii="Roboto" w:eastAsia="Roboto" w:hAnsi="Roboto" w:cs="Roboto"/>
          <w:b/>
          <w:color w:val="000000"/>
          <w:sz w:val="20"/>
          <w:szCs w:val="20"/>
        </w:rPr>
        <w:t xml:space="preserve"> </w:t>
      </w:r>
      <w:r>
        <w:rPr>
          <w:rFonts w:ascii="Roboto" w:eastAsia="Roboto" w:hAnsi="Roboto" w:cs="Roboto"/>
          <w:b/>
          <w:color w:val="000000"/>
          <w:sz w:val="20"/>
          <w:szCs w:val="20"/>
        </w:rPr>
        <w:t>M</w:t>
      </w:r>
      <w:r w:rsidR="00AD3E57">
        <w:rPr>
          <w:rFonts w:ascii="Roboto" w:eastAsia="Roboto" w:hAnsi="Roboto" w:cs="Roboto"/>
          <w:b/>
          <w:color w:val="000000"/>
          <w:sz w:val="20"/>
          <w:szCs w:val="20"/>
        </w:rPr>
        <w:t>.</w:t>
      </w:r>
      <w:r>
        <w:rPr>
          <w:rFonts w:ascii="Roboto" w:eastAsia="Roboto" w:hAnsi="Roboto" w:cs="Roboto"/>
          <w:b/>
          <w:color w:val="000000"/>
          <w:sz w:val="20"/>
          <w:szCs w:val="20"/>
        </w:rPr>
        <w:t xml:space="preserve"> A</w:t>
      </w:r>
      <w:r w:rsidR="00AD3E57">
        <w:rPr>
          <w:rFonts w:ascii="Roboto" w:eastAsia="Roboto" w:hAnsi="Roboto" w:cs="Roboto"/>
          <w:b/>
          <w:color w:val="000000"/>
          <w:sz w:val="20"/>
          <w:szCs w:val="20"/>
          <w:vertAlign w:val="superscript"/>
        </w:rPr>
        <w:t>1*</w:t>
      </w:r>
    </w:p>
    <w:p w14:paraId="06F90EAF" w14:textId="43963460" w:rsidR="00B47A97" w:rsidRPr="00C34DC7" w:rsidRDefault="00AD3E57" w:rsidP="00C34DC7">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1</w:t>
      </w:r>
      <w:r w:rsidR="0053096E">
        <w:rPr>
          <w:rFonts w:ascii="Roboto" w:eastAsia="Roboto" w:hAnsi="Roboto" w:cs="Roboto"/>
          <w:color w:val="000000"/>
          <w:sz w:val="18"/>
          <w:szCs w:val="18"/>
        </w:rPr>
        <w:t>Facultad de Humanidades, Universidad Anáhuac Querétaro</w:t>
      </w:r>
      <w:r>
        <w:rPr>
          <w:rFonts w:ascii="Roboto" w:eastAsia="Roboto" w:hAnsi="Roboto" w:cs="Roboto"/>
          <w:color w:val="000000"/>
          <w:sz w:val="18"/>
          <w:szCs w:val="18"/>
        </w:rPr>
        <w:t>, ORCID</w:t>
      </w:r>
      <w:r w:rsidR="0053096E">
        <w:rPr>
          <w:rFonts w:ascii="Roboto" w:eastAsia="Roboto" w:hAnsi="Roboto" w:cs="Roboto"/>
          <w:color w:val="000000"/>
          <w:sz w:val="18"/>
          <w:szCs w:val="18"/>
        </w:rPr>
        <w:t>:</w:t>
      </w:r>
      <w:r w:rsidR="00C34DC7" w:rsidRPr="00C34DC7">
        <w:rPr>
          <w:rFonts w:ascii="Noto Sans" w:hAnsi="Noto Sans" w:cs="Noto Sans"/>
          <w:b/>
          <w:color w:val="FFFFFF"/>
        </w:rPr>
        <w:t xml:space="preserve"> </w:t>
      </w:r>
      <w:r w:rsidR="00C34DC7" w:rsidRPr="00C34DC7">
        <w:rPr>
          <w:rFonts w:ascii="Roboto" w:eastAsia="Roboto" w:hAnsi="Roboto" w:cs="Roboto"/>
          <w:color w:val="000000"/>
          <w:sz w:val="18"/>
          <w:szCs w:val="18"/>
        </w:rPr>
        <w:t>https://orcid.org/0000-0002-0799-5421</w:t>
      </w:r>
    </w:p>
    <w:p w14:paraId="06F90EB0" w14:textId="2B13F566" w:rsidR="00B47A97" w:rsidRDefault="00AD3E57">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C34DC7">
        <w:rPr>
          <w:rFonts w:ascii="Roboto" w:eastAsia="Roboto" w:hAnsi="Roboto" w:cs="Roboto"/>
          <w:sz w:val="18"/>
          <w:szCs w:val="18"/>
        </w:rPr>
        <w:t>manuel.gutierrezgon@anahuac.mx</w:t>
      </w:r>
      <w:r>
        <w:rPr>
          <w:rFonts w:ascii="Roboto" w:eastAsia="Roboto" w:hAnsi="Roboto" w:cs="Roboto"/>
          <w:sz w:val="18"/>
          <w:szCs w:val="18"/>
        </w:rPr>
        <w:t>)</w:t>
      </w:r>
    </w:p>
    <w:p w14:paraId="06F90EB1" w14:textId="77777777" w:rsidR="00B47A97" w:rsidRDefault="00000000">
      <w:pPr>
        <w:spacing w:before="60"/>
        <w:jc w:val="center"/>
        <w:rPr>
          <w:rFonts w:ascii="Roboto" w:eastAsia="Roboto" w:hAnsi="Roboto" w:cs="Roboto"/>
          <w:sz w:val="18"/>
          <w:szCs w:val="18"/>
        </w:rPr>
        <w:sectPr w:rsidR="00B47A97">
          <w:headerReference w:type="default" r:id="rId7"/>
          <w:pgSz w:w="11906" w:h="16838"/>
          <w:pgMar w:top="851" w:right="851" w:bottom="828" w:left="851" w:header="357" w:footer="720" w:gutter="0"/>
          <w:pgNumType w:start="1"/>
          <w:cols w:space="720"/>
        </w:sectPr>
      </w:pPr>
      <w:r>
        <w:pict w14:anchorId="06F90ED9">
          <v:rect id="_x0000_i1025" style="width:0;height:1.5pt" o:hralign="center" o:hrstd="t" o:hr="t" fillcolor="#a0a0a0" stroked="f"/>
        </w:pict>
      </w:r>
    </w:p>
    <w:p w14:paraId="06F90EB4" w14:textId="77777777" w:rsidR="00B47A97" w:rsidRDefault="00B47A97">
      <w:pPr>
        <w:pBdr>
          <w:top w:val="nil"/>
          <w:left w:val="nil"/>
          <w:bottom w:val="nil"/>
          <w:right w:val="nil"/>
          <w:between w:val="nil"/>
        </w:pBdr>
        <w:jc w:val="both"/>
        <w:rPr>
          <w:rFonts w:ascii="Roboto" w:eastAsia="Roboto" w:hAnsi="Roboto" w:cs="Roboto"/>
          <w:b/>
          <w:color w:val="000000"/>
          <w:sz w:val="20"/>
          <w:szCs w:val="20"/>
        </w:rPr>
      </w:pPr>
    </w:p>
    <w:p w14:paraId="06F90EB5" w14:textId="5E3E0DBC" w:rsidR="00B47A97" w:rsidRDefault="002565BA">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06F90EB6" w14:textId="2B0D9740" w:rsidR="00B47A97" w:rsidRDefault="002565BA">
      <w:pPr>
        <w:pBdr>
          <w:top w:val="nil"/>
          <w:left w:val="nil"/>
          <w:bottom w:val="nil"/>
          <w:right w:val="nil"/>
          <w:between w:val="nil"/>
        </w:pBdr>
        <w:jc w:val="both"/>
        <w:rPr>
          <w:rFonts w:ascii="Roboto" w:eastAsia="Roboto" w:hAnsi="Roboto" w:cs="Roboto"/>
          <w:b/>
          <w:color w:val="000000"/>
          <w:sz w:val="20"/>
          <w:szCs w:val="20"/>
        </w:rPr>
      </w:pPr>
      <w:r w:rsidRPr="002565BA">
        <w:rPr>
          <w:rFonts w:ascii="Roboto" w:eastAsia="Roboto" w:hAnsi="Roboto" w:cs="Roboto"/>
          <w:color w:val="000000"/>
          <w:sz w:val="20"/>
          <w:szCs w:val="20"/>
        </w:rPr>
        <w:t>La proliferación de programas de liderazgo en la educación superior ha derivado en una crisis de eficacia caracterizada por un enfoque retórico e individualista que carece de praxis y especialización docente. Frente a esto, se critica el modelo de Liderazgo de Acción Positiva (LAP) por priorizar la intención moral individual sobre la mediación relacional, planteando la hipótesis de que las buenas intenciones son insuficientes sin una estructura de interacción social para el bien común. Para responder a esta problemática, el artículo contrastará el enfoque privado del LAP con modelos basados en la virtud social, empleará un análisis sistémico desde las causas aristotélicas y evidenciará las brechas existentes entre la idealización del liderazgo y su realidad práctica.</w:t>
      </w:r>
    </w:p>
    <w:p w14:paraId="06F90EB7" w14:textId="77777777" w:rsidR="00B47A97" w:rsidRDefault="00B47A97">
      <w:pPr>
        <w:pBdr>
          <w:top w:val="nil"/>
          <w:left w:val="nil"/>
          <w:bottom w:val="nil"/>
          <w:right w:val="nil"/>
          <w:between w:val="nil"/>
        </w:pBdr>
        <w:jc w:val="both"/>
        <w:rPr>
          <w:rFonts w:ascii="Roboto" w:eastAsia="Roboto" w:hAnsi="Roboto" w:cs="Roboto"/>
          <w:b/>
          <w:color w:val="000000"/>
          <w:sz w:val="20"/>
          <w:szCs w:val="20"/>
        </w:rPr>
      </w:pPr>
    </w:p>
    <w:p w14:paraId="06F90EB8" w14:textId="62D28FC4" w:rsidR="00B47A97" w:rsidRDefault="00AC2C83">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La falacia de la virtud solipsista vs la virtud relacional</w:t>
      </w:r>
    </w:p>
    <w:p w14:paraId="179BADDD" w14:textId="33B68254" w:rsidR="009453A1" w:rsidRPr="009453A1" w:rsidRDefault="00703B51" w:rsidP="009453A1">
      <w:pPr>
        <w:pBdr>
          <w:top w:val="nil"/>
          <w:left w:val="nil"/>
          <w:bottom w:val="nil"/>
          <w:right w:val="nil"/>
          <w:between w:val="nil"/>
        </w:pBdr>
        <w:jc w:val="both"/>
        <w:rPr>
          <w:rFonts w:ascii="Roboto" w:eastAsia="Roboto" w:hAnsi="Roboto" w:cs="Roboto"/>
          <w:color w:val="000000"/>
          <w:sz w:val="20"/>
          <w:szCs w:val="20"/>
        </w:rPr>
      </w:pPr>
      <w:r w:rsidRPr="00703B51">
        <w:rPr>
          <w:rFonts w:ascii="Roboto" w:eastAsia="Roboto" w:hAnsi="Roboto" w:cs="Roboto"/>
          <w:color w:val="000000"/>
          <w:sz w:val="20"/>
          <w:szCs w:val="20"/>
        </w:rPr>
        <w:t>El modelo de</w:t>
      </w:r>
      <w:r>
        <w:rPr>
          <w:rFonts w:ascii="Roboto" w:eastAsia="Roboto" w:hAnsi="Roboto" w:cs="Roboto"/>
          <w:color w:val="000000"/>
          <w:sz w:val="20"/>
          <w:szCs w:val="20"/>
        </w:rPr>
        <w:t xml:space="preserve">l </w:t>
      </w:r>
      <w:r w:rsidRPr="00703B51">
        <w:rPr>
          <w:rFonts w:ascii="Roboto" w:eastAsia="Roboto" w:hAnsi="Roboto" w:cs="Roboto"/>
          <w:color w:val="000000"/>
          <w:sz w:val="20"/>
          <w:szCs w:val="20"/>
        </w:rPr>
        <w:t xml:space="preserve">LAP </w:t>
      </w:r>
      <w:r w:rsidR="009453A1" w:rsidRPr="009453A1">
        <w:rPr>
          <w:rFonts w:ascii="Roboto" w:eastAsia="Roboto" w:hAnsi="Roboto" w:cs="Roboto"/>
          <w:color w:val="000000"/>
          <w:sz w:val="20"/>
          <w:szCs w:val="20"/>
        </w:rPr>
        <w:t>se fundamenta en una definición antropológica e intencional que sitúa el núcleo del liderazgo en la interioridad del sujeto. Se entiende al líder como aquel que, mediante un compromiso consciente con la verdad y el bien, busca influir en su entorno desde una vocación de servicio. Esta concepción enfatiza la formación integral de las facultades personales —inteligencia, conciencia y voluntad—, presentando la virtud como un hábito perfectivo de las potencias individuales que permite al sujeto actuar correctamente y alcanzar la plenitud de su proyecto de vida.</w:t>
      </w:r>
    </w:p>
    <w:p w14:paraId="4A69A5E4" w14:textId="63017CCC" w:rsidR="009453A1" w:rsidRPr="009453A1" w:rsidRDefault="009453A1" w:rsidP="009453A1">
      <w:pPr>
        <w:pBdr>
          <w:top w:val="nil"/>
          <w:left w:val="nil"/>
          <w:bottom w:val="nil"/>
          <w:right w:val="nil"/>
          <w:between w:val="nil"/>
        </w:pBdr>
        <w:jc w:val="both"/>
        <w:rPr>
          <w:rFonts w:ascii="Roboto" w:eastAsia="Roboto" w:hAnsi="Roboto" w:cs="Roboto"/>
          <w:color w:val="000000"/>
          <w:sz w:val="20"/>
          <w:szCs w:val="20"/>
        </w:rPr>
      </w:pPr>
      <w:r w:rsidRPr="009453A1">
        <w:rPr>
          <w:rFonts w:ascii="Roboto" w:eastAsia="Roboto" w:hAnsi="Roboto" w:cs="Roboto"/>
          <w:color w:val="000000"/>
          <w:sz w:val="20"/>
          <w:szCs w:val="20"/>
        </w:rPr>
        <w:t>Al analizar las diversas implementaciones del LAP en distintas universidades, se observa u</w:t>
      </w:r>
      <w:r w:rsidR="00C41FEC">
        <w:rPr>
          <w:rFonts w:ascii="Roboto" w:eastAsia="Roboto" w:hAnsi="Roboto" w:cs="Roboto"/>
          <w:color w:val="000000"/>
          <w:sz w:val="20"/>
          <w:szCs w:val="20"/>
        </w:rPr>
        <w:t>n amplio detalle</w:t>
      </w:r>
      <w:r w:rsidRPr="009453A1">
        <w:rPr>
          <w:rFonts w:ascii="Roboto" w:eastAsia="Roboto" w:hAnsi="Roboto" w:cs="Roboto"/>
          <w:color w:val="000000"/>
          <w:sz w:val="20"/>
          <w:szCs w:val="20"/>
        </w:rPr>
        <w:t xml:space="preserve"> de propuestas que, aunque varían en énfasis operativo, mantienen una unidad de análisis centrada en el individuo. Los modelos descritos priorizan virtudes y características privadas como la prudencia, la fortaleza, el optimismo o la gestión personal, incluso cuando declaran orientarse al bien común. Esto revela que, en la práctica, el liderazgo se configura como una cualidad que se adquiere y posee, dependiendo principalmente de la madurez moral y espiritual del agente más que de la dinámica colectiva.</w:t>
      </w:r>
    </w:p>
    <w:p w14:paraId="520DF4EB" w14:textId="432C5D17" w:rsidR="009453A1" w:rsidRPr="009453A1" w:rsidRDefault="009453A1" w:rsidP="009453A1">
      <w:pPr>
        <w:pBdr>
          <w:top w:val="nil"/>
          <w:left w:val="nil"/>
          <w:bottom w:val="nil"/>
          <w:right w:val="nil"/>
          <w:between w:val="nil"/>
        </w:pBdr>
        <w:jc w:val="both"/>
        <w:rPr>
          <w:rFonts w:ascii="Roboto" w:eastAsia="Roboto" w:hAnsi="Roboto" w:cs="Roboto"/>
          <w:color w:val="000000"/>
          <w:sz w:val="20"/>
          <w:szCs w:val="20"/>
        </w:rPr>
      </w:pPr>
      <w:r w:rsidRPr="009453A1">
        <w:rPr>
          <w:rFonts w:ascii="Roboto" w:eastAsia="Roboto" w:hAnsi="Roboto" w:cs="Roboto"/>
          <w:color w:val="000000"/>
          <w:sz w:val="20"/>
          <w:szCs w:val="20"/>
        </w:rPr>
        <w:t>No obstante, surge una crítica fundamental respecto a esta centralidad del sujeto, identificando al LAP como un modelo de propiedad moral privada. Al agotar la causalidad del liderazgo en la formación subjetiva, el modelo logra explicar disposiciones personales</w:t>
      </w:r>
      <w:r w:rsidR="004F52E8">
        <w:rPr>
          <w:rFonts w:ascii="Roboto" w:eastAsia="Roboto" w:hAnsi="Roboto" w:cs="Roboto"/>
          <w:color w:val="000000"/>
          <w:sz w:val="20"/>
          <w:szCs w:val="20"/>
        </w:rPr>
        <w:t>,</w:t>
      </w:r>
      <w:r w:rsidRPr="009453A1">
        <w:rPr>
          <w:rFonts w:ascii="Roboto" w:eastAsia="Roboto" w:hAnsi="Roboto" w:cs="Roboto"/>
          <w:color w:val="000000"/>
          <w:sz w:val="20"/>
          <w:szCs w:val="20"/>
        </w:rPr>
        <w:t xml:space="preserve"> pero falla en describir dinámicas de liderazgo efectivamente realizadas en comunidad. Bajo este enfoque, el bien común corre el riesgo de convertirse en un adorno conceptual, ya que la validación del liderazgo </w:t>
      </w:r>
      <w:r w:rsidRPr="009453A1">
        <w:rPr>
          <w:rFonts w:ascii="Roboto" w:eastAsia="Roboto" w:hAnsi="Roboto" w:cs="Roboto"/>
          <w:color w:val="000000"/>
          <w:sz w:val="20"/>
          <w:szCs w:val="20"/>
        </w:rPr>
        <w:t>permanece en la esfera del sujeto y no en la mediación relacional necesaria para la acción colectiva real.</w:t>
      </w:r>
    </w:p>
    <w:p w14:paraId="7C79B415" w14:textId="77777777" w:rsidR="009453A1" w:rsidRPr="009453A1" w:rsidRDefault="009453A1" w:rsidP="009453A1">
      <w:pPr>
        <w:pBdr>
          <w:top w:val="nil"/>
          <w:left w:val="nil"/>
          <w:bottom w:val="nil"/>
          <w:right w:val="nil"/>
          <w:between w:val="nil"/>
        </w:pBdr>
        <w:jc w:val="both"/>
        <w:rPr>
          <w:rFonts w:ascii="Roboto" w:eastAsia="Roboto" w:hAnsi="Roboto" w:cs="Roboto"/>
          <w:color w:val="000000"/>
          <w:sz w:val="20"/>
          <w:szCs w:val="20"/>
        </w:rPr>
      </w:pPr>
      <w:r w:rsidRPr="009453A1">
        <w:rPr>
          <w:rFonts w:ascii="Roboto" w:eastAsia="Roboto" w:hAnsi="Roboto" w:cs="Roboto"/>
          <w:color w:val="000000"/>
          <w:sz w:val="20"/>
          <w:szCs w:val="20"/>
        </w:rPr>
        <w:t>La discusión se profundiza al examinar la naturaleza de las virtudes desde una perspectiva tomista, distinguiendo entre aquellas que perfeccionan al sujeto en su interioridad y las que regulan constitutivamente la relación con el otro. Mientras que la prudencia, la fortaleza y la templanza estabilizan al individuo, la justicia posee una formalidad distinta al tener por objeto directo al prójimo y su derecho. El problema del LAP radica en homogeneizar el estatuto de las virtudes, asumiendo que todas validan el liderazgo por igual, cuando solo aquellas que incluyen la alteridad pueden sostener prácticas orientadas al bien compartido.</w:t>
      </w:r>
    </w:p>
    <w:p w14:paraId="06F90EBA" w14:textId="3EA0F32E" w:rsidR="00B47A97" w:rsidRDefault="009453A1" w:rsidP="00703B51">
      <w:pPr>
        <w:pBdr>
          <w:top w:val="nil"/>
          <w:left w:val="nil"/>
          <w:bottom w:val="nil"/>
          <w:right w:val="nil"/>
          <w:between w:val="nil"/>
        </w:pBdr>
        <w:jc w:val="both"/>
        <w:rPr>
          <w:rFonts w:ascii="Roboto" w:eastAsia="Roboto" w:hAnsi="Roboto" w:cs="Roboto"/>
          <w:color w:val="000000"/>
          <w:sz w:val="20"/>
          <w:szCs w:val="20"/>
        </w:rPr>
      </w:pPr>
      <w:r w:rsidRPr="009453A1">
        <w:rPr>
          <w:rFonts w:ascii="Roboto" w:eastAsia="Roboto" w:hAnsi="Roboto" w:cs="Roboto"/>
          <w:color w:val="000000"/>
          <w:sz w:val="20"/>
          <w:szCs w:val="20"/>
        </w:rPr>
        <w:t>En consecuencia, se propone superar el individualismo mediante una comprensión de la virtud que trascienda la introspección privada para encarnarse en prácticas sociales sostenidas. El liderazgo no debe acreditarse por la posesión de disposiciones morales internas, sino por la capacidad de generar dinámicas de agencia y equidad experimentadas por la comunidad. Así, la virtud se estabiliza como principio político cuando se abre formalmente al otro, requiriendo una estructura de mediación social donde la justicia y la interacción colectiva sean los criterios reales de validación del liderazgo universitario.</w:t>
      </w:r>
    </w:p>
    <w:p w14:paraId="06F90EBB" w14:textId="77777777" w:rsidR="00B47A97" w:rsidRDefault="00B47A97">
      <w:pPr>
        <w:pBdr>
          <w:top w:val="nil"/>
          <w:left w:val="nil"/>
          <w:bottom w:val="nil"/>
          <w:right w:val="nil"/>
          <w:between w:val="nil"/>
        </w:pBdr>
        <w:jc w:val="both"/>
        <w:rPr>
          <w:rFonts w:ascii="Roboto" w:eastAsia="Roboto" w:hAnsi="Roboto" w:cs="Roboto"/>
          <w:color w:val="000000"/>
          <w:sz w:val="20"/>
          <w:szCs w:val="20"/>
        </w:rPr>
      </w:pPr>
    </w:p>
    <w:p w14:paraId="06F90EBC" w14:textId="0538CEF9" w:rsidR="00B47A97" w:rsidRDefault="00541D45">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El LAP desde las causas aristotélicas</w:t>
      </w:r>
    </w:p>
    <w:p w14:paraId="3595A618" w14:textId="5CF5DD14" w:rsidR="00541D45" w:rsidRPr="00541D45" w:rsidRDefault="00541D45" w:rsidP="00541D45">
      <w:pPr>
        <w:pBdr>
          <w:top w:val="nil"/>
          <w:left w:val="nil"/>
          <w:bottom w:val="nil"/>
          <w:right w:val="nil"/>
          <w:between w:val="nil"/>
        </w:pBdr>
        <w:jc w:val="both"/>
        <w:rPr>
          <w:rFonts w:ascii="Roboto" w:eastAsia="Roboto" w:hAnsi="Roboto" w:cs="Roboto"/>
          <w:color w:val="000000"/>
          <w:sz w:val="20"/>
          <w:szCs w:val="20"/>
        </w:rPr>
      </w:pPr>
      <w:r w:rsidRPr="00541D45">
        <w:rPr>
          <w:rFonts w:ascii="Roboto" w:eastAsia="Roboto" w:hAnsi="Roboto" w:cs="Roboto"/>
          <w:color w:val="000000"/>
          <w:sz w:val="20"/>
          <w:szCs w:val="20"/>
        </w:rPr>
        <w:t>Aunque los teóricos del LAP afirman que su fin último es el bien común, el modelo carece de una explicación operativa sobre cómo alcanzarlo, limitándose a la formación de virtudes individuales. Para analizar esta problemática, se emplean las causas aristotélicas como marco sistémico: la causa material del LAP es la autoimagen moral del estudiante, lo cual resulta problemático para la medición del liderazgo debido al sesgo de bondad moral, capturando idealidad aspiracional en lugar de acción efectiva; y la causa formal se reduce a una arquitectura normativa centrada en el perfil del líder ideal, sin especificar cómo esa configuración interna se traduce en estructuras que produzcan bienes comunes verificables.</w:t>
      </w:r>
    </w:p>
    <w:p w14:paraId="4911C235" w14:textId="77777777" w:rsidR="00541D45" w:rsidRPr="00541D45" w:rsidRDefault="00541D45" w:rsidP="00541D45">
      <w:pPr>
        <w:pBdr>
          <w:top w:val="nil"/>
          <w:left w:val="nil"/>
          <w:bottom w:val="nil"/>
          <w:right w:val="nil"/>
          <w:between w:val="nil"/>
        </w:pBdr>
        <w:jc w:val="both"/>
        <w:rPr>
          <w:rFonts w:ascii="Roboto" w:eastAsia="Roboto" w:hAnsi="Roboto" w:cs="Roboto"/>
          <w:color w:val="000000"/>
          <w:sz w:val="20"/>
          <w:szCs w:val="20"/>
        </w:rPr>
      </w:pPr>
      <w:r w:rsidRPr="00541D45">
        <w:rPr>
          <w:rFonts w:ascii="Roboto" w:eastAsia="Roboto" w:hAnsi="Roboto" w:cs="Roboto"/>
          <w:color w:val="000000"/>
          <w:sz w:val="20"/>
          <w:szCs w:val="20"/>
        </w:rPr>
        <w:t xml:space="preserve">El punto crítico se identifica en la causa eficiente y la pretensión teleológica del modelo. En el LAP, la educación se concibe como un proceso donde el estudiante actualiza sus potencias intelectuales, pero esta noción permanece en el plano cognitivo-formativo y no diseña mecanismos institucionales que transformen ideales en prácticas colectivas. Dado que la acción humana es un dinamismo complejo influido por disposiciones personales y factores contextuales, la formación en liderazgo no puede limitarse a la intención correcta; requiere diseñar entornos que favorezcan la </w:t>
      </w:r>
      <w:r w:rsidRPr="00541D45">
        <w:rPr>
          <w:rFonts w:ascii="Roboto" w:eastAsia="Roboto" w:hAnsi="Roboto" w:cs="Roboto"/>
          <w:color w:val="000000"/>
          <w:sz w:val="20"/>
          <w:szCs w:val="20"/>
        </w:rPr>
        <w:lastRenderedPageBreak/>
        <w:t>actualización del bien común mediante la interacción entre el sujeto y su entorno.</w:t>
      </w:r>
    </w:p>
    <w:p w14:paraId="49543CC7" w14:textId="1E9842A8" w:rsidR="00541D45" w:rsidRPr="00541D45" w:rsidRDefault="00541D45" w:rsidP="00541D45">
      <w:pPr>
        <w:pBdr>
          <w:top w:val="nil"/>
          <w:left w:val="nil"/>
          <w:bottom w:val="nil"/>
          <w:right w:val="nil"/>
          <w:between w:val="nil"/>
        </w:pBdr>
        <w:jc w:val="both"/>
        <w:rPr>
          <w:rFonts w:ascii="Roboto" w:eastAsia="Roboto" w:hAnsi="Roboto" w:cs="Roboto"/>
          <w:color w:val="000000"/>
          <w:sz w:val="20"/>
          <w:szCs w:val="20"/>
        </w:rPr>
      </w:pPr>
      <w:r w:rsidRPr="00541D45">
        <w:rPr>
          <w:rFonts w:ascii="Roboto" w:eastAsia="Roboto" w:hAnsi="Roboto" w:cs="Roboto"/>
          <w:color w:val="000000"/>
          <w:sz w:val="20"/>
          <w:szCs w:val="20"/>
        </w:rPr>
        <w:t>El error fundamental del LAP radica en una falacia de suficiencia teleológica</w:t>
      </w:r>
      <w:r w:rsidR="00050DEA">
        <w:rPr>
          <w:rFonts w:ascii="Roboto" w:eastAsia="Roboto" w:hAnsi="Roboto" w:cs="Roboto"/>
          <w:color w:val="000000"/>
          <w:sz w:val="20"/>
          <w:szCs w:val="20"/>
        </w:rPr>
        <w:t>, porque</w:t>
      </w:r>
      <w:r w:rsidRPr="00541D45">
        <w:rPr>
          <w:rFonts w:ascii="Roboto" w:eastAsia="Roboto" w:hAnsi="Roboto" w:cs="Roboto"/>
          <w:color w:val="000000"/>
          <w:sz w:val="20"/>
          <w:szCs w:val="20"/>
        </w:rPr>
        <w:t xml:space="preserve"> asume que postular el bien común como causa final equivale a poseer los medios para alcanzarlo. En términos aristotélicos, el modelo reclama el fin</w:t>
      </w:r>
      <w:r w:rsidR="002767E6">
        <w:rPr>
          <w:rFonts w:ascii="Roboto" w:eastAsia="Roboto" w:hAnsi="Roboto" w:cs="Roboto"/>
          <w:color w:val="000000"/>
          <w:sz w:val="20"/>
          <w:szCs w:val="20"/>
        </w:rPr>
        <w:t>,</w:t>
      </w:r>
      <w:r w:rsidRPr="00541D45">
        <w:rPr>
          <w:rFonts w:ascii="Roboto" w:eastAsia="Roboto" w:hAnsi="Roboto" w:cs="Roboto"/>
          <w:color w:val="000000"/>
          <w:sz w:val="20"/>
          <w:szCs w:val="20"/>
        </w:rPr>
        <w:t xml:space="preserve"> pero carece de la articulación con las causas formales y eficientes necesarias para producirlo. Sin mecanismos de gestión, equidad y agencia social medibles, el bien común se convierte en retórica o en un deseo piadoso que confunde la aspiración ética con la producción real de bienes compartidos; como señala Aristóteles, la justicia y el liderazgo se construyen practicándolos en estructuras concretas, no simplemente deseando que los sujetos sean virtuosos.</w:t>
      </w:r>
    </w:p>
    <w:p w14:paraId="06F90ECD" w14:textId="77777777" w:rsidR="00B47A97" w:rsidRDefault="00B47A97">
      <w:pPr>
        <w:pBdr>
          <w:top w:val="nil"/>
          <w:left w:val="nil"/>
          <w:bottom w:val="nil"/>
          <w:right w:val="nil"/>
          <w:between w:val="nil"/>
        </w:pBdr>
        <w:jc w:val="both"/>
        <w:rPr>
          <w:rFonts w:ascii="Roboto" w:eastAsia="Roboto" w:hAnsi="Roboto" w:cs="Roboto"/>
          <w:color w:val="000000"/>
          <w:sz w:val="20"/>
          <w:szCs w:val="20"/>
        </w:rPr>
      </w:pPr>
    </w:p>
    <w:p w14:paraId="06F90ECE" w14:textId="12733435" w:rsidR="00B47A97" w:rsidRDefault="002767E6">
      <w:pPr>
        <w:jc w:val="both"/>
        <w:rPr>
          <w:rFonts w:ascii="Roboto" w:eastAsia="Roboto" w:hAnsi="Roboto" w:cs="Roboto"/>
          <w:b/>
          <w:sz w:val="20"/>
          <w:szCs w:val="20"/>
        </w:rPr>
      </w:pPr>
      <w:r>
        <w:rPr>
          <w:rFonts w:ascii="Roboto" w:eastAsia="Roboto" w:hAnsi="Roboto" w:cs="Roboto"/>
          <w:b/>
          <w:sz w:val="20"/>
          <w:szCs w:val="20"/>
        </w:rPr>
        <w:t>Las dos brechas que genera el LAP</w:t>
      </w:r>
    </w:p>
    <w:p w14:paraId="037F1050" w14:textId="5FAC9D2C" w:rsidR="0012072B" w:rsidRPr="0012072B" w:rsidRDefault="0012072B" w:rsidP="0012072B">
      <w:pPr>
        <w:jc w:val="both"/>
        <w:rPr>
          <w:rFonts w:ascii="Roboto" w:eastAsia="Roboto" w:hAnsi="Roboto" w:cs="Roboto"/>
          <w:sz w:val="20"/>
          <w:szCs w:val="20"/>
        </w:rPr>
      </w:pPr>
      <w:r w:rsidRPr="0012072B">
        <w:rPr>
          <w:rFonts w:ascii="Roboto" w:eastAsia="Roboto" w:hAnsi="Roboto" w:cs="Roboto"/>
          <w:sz w:val="20"/>
          <w:szCs w:val="20"/>
        </w:rPr>
        <w:t>El modelo de LAP se revela educativamente incompleto al formar estudiantes que poseen el ideal del bien común (causa formal), pero carecen de las virtudes prosociales necesarias para vivirlo efectivamente (causa eficiente). Esta limitación genera dos brechas fundamentales: la ideal-real y la de percepción. La primera se evidencia empíricamente mediante la escala de Liderazgo de Bien Común (LBC), la cual, fundamentada en una antropología relacional y las causas aristotélicas, distingue entre lo que los estudiantes consideran importante y lo que realmente practican, permitiendo un análisis de brecha (GAP) que expone la distancia entre la aspiración ética y la acción concreta.</w:t>
      </w:r>
    </w:p>
    <w:p w14:paraId="3CA17FB7" w14:textId="2EC1A4AA" w:rsidR="0012072B" w:rsidRPr="0012072B" w:rsidRDefault="0012072B" w:rsidP="0012072B">
      <w:pPr>
        <w:jc w:val="both"/>
        <w:rPr>
          <w:rFonts w:ascii="Roboto" w:eastAsia="Roboto" w:hAnsi="Roboto" w:cs="Roboto"/>
          <w:sz w:val="20"/>
          <w:szCs w:val="20"/>
        </w:rPr>
      </w:pPr>
      <w:r w:rsidRPr="0012072B">
        <w:rPr>
          <w:rFonts w:ascii="Roboto" w:eastAsia="Roboto" w:hAnsi="Roboto" w:cs="Roboto"/>
          <w:sz w:val="20"/>
          <w:szCs w:val="20"/>
        </w:rPr>
        <w:t>La brecha ideal-real se confirma en un estudio con 655 estudiantes universitarios, donde se identifican déficits significativos en dimensiones críticas como resiliencia (-0.64), congruencia (-0.40) y autogobierno (-0.43). Aunque los estudiantes internalizan el discurso del bien común, carecen de capacidades operativas en gestión, sostenibilidad y resiliencia práctica. Además, la pertenencia a grupos de liderazgo institucional solo impacta dimensiones afectivas como solidaridad y florecimiento, funcionando como ecosistemas de cohesión superficial que no forjan la integridad operativa necesaria. Esto convierte al LAP en un placebo moral que produce egresados con alta autoestima ética pero baja capacidad de respuesta ante la frustración y el conflicto real.</w:t>
      </w:r>
    </w:p>
    <w:p w14:paraId="1AAD613B" w14:textId="77777777" w:rsidR="0012072B" w:rsidRPr="0012072B" w:rsidRDefault="0012072B" w:rsidP="0012072B">
      <w:pPr>
        <w:jc w:val="both"/>
        <w:rPr>
          <w:rFonts w:ascii="Roboto" w:eastAsia="Roboto" w:hAnsi="Roboto" w:cs="Roboto"/>
          <w:sz w:val="20"/>
          <w:szCs w:val="20"/>
        </w:rPr>
      </w:pPr>
      <w:r w:rsidRPr="0012072B">
        <w:rPr>
          <w:rFonts w:ascii="Roboto" w:eastAsia="Roboto" w:hAnsi="Roboto" w:cs="Roboto"/>
          <w:sz w:val="20"/>
          <w:szCs w:val="20"/>
        </w:rPr>
        <w:t xml:space="preserve">La segunda brecha, de carácter perceptual, revela una fractura entre el líder diseñado por la institución y el líder reconocido en la vida universitaria estudiantil. Mientras el LAP promueve un perfil humanista y virtuoso, los estudiantes identifican el liderazgo con capital simbólico, visibilidad digital y éxito en arenas de alta exposición. Estudios sobre autoeficacia percibida muestran que un estudiante puede considerarse altamente competente en liderazgo debido a su formación interna, pero ejecutar pocas acciones prosociales concretas. Esta disonancia valida que las buenas intenciones son insuficientes sin estructuras de </w:t>
      </w:r>
      <w:r w:rsidRPr="0012072B">
        <w:rPr>
          <w:rFonts w:ascii="Roboto" w:eastAsia="Roboto" w:hAnsi="Roboto" w:cs="Roboto"/>
          <w:sz w:val="20"/>
          <w:szCs w:val="20"/>
        </w:rPr>
        <w:t>mediación social, y que la percepción individual de virtud no garantiza la producción efectiva de bienes comunes.</w:t>
      </w:r>
    </w:p>
    <w:p w14:paraId="06F90ECF" w14:textId="675C1347" w:rsidR="00B47A97" w:rsidRDefault="0012072B">
      <w:pPr>
        <w:jc w:val="both"/>
        <w:rPr>
          <w:rFonts w:ascii="Roboto" w:eastAsia="Roboto" w:hAnsi="Roboto" w:cs="Roboto"/>
          <w:sz w:val="20"/>
          <w:szCs w:val="20"/>
        </w:rPr>
      </w:pPr>
      <w:r w:rsidRPr="0012072B">
        <w:rPr>
          <w:rFonts w:ascii="Roboto" w:eastAsia="Roboto" w:hAnsi="Roboto" w:cs="Roboto"/>
          <w:sz w:val="20"/>
          <w:szCs w:val="20"/>
        </w:rPr>
        <w:t>Para cerrar estas brechas, el modelo de LBC propone un cambio de paradigma: transitar del liderazgo como propiedad del sujeto al liderazgo como dinámica sistémica relacional. A diferencia del LAP, el LBC se valida mediante modelado estadístico robusto y operacionaliza el liderazgo en dimensiones observables como gestión, colaboración, solidaridad y equidad. Al desplazar el foco de la introspección a la interacción, el LBC transforma la validación del liderazgo de un asunto de conciencia privada a uno de evidencia estructural, donde la superación de la brecha de percepción requiere pasar de una validación subjetiva de la virtud a una validación intersubjetiva de la justicia y el bien común efectivamente producido.</w:t>
      </w:r>
    </w:p>
    <w:p w14:paraId="06F90ED0" w14:textId="77777777" w:rsidR="00B47A97" w:rsidRDefault="00B47A97">
      <w:pPr>
        <w:jc w:val="both"/>
        <w:rPr>
          <w:rFonts w:ascii="Roboto" w:eastAsia="Roboto" w:hAnsi="Roboto" w:cs="Roboto"/>
          <w:sz w:val="20"/>
          <w:szCs w:val="20"/>
        </w:rPr>
      </w:pPr>
    </w:p>
    <w:p w14:paraId="06F90ED1" w14:textId="41DFAA31" w:rsidR="00B47A97" w:rsidRDefault="000A52C5">
      <w:pPr>
        <w:jc w:val="both"/>
        <w:rPr>
          <w:rFonts w:ascii="Roboto" w:eastAsia="Roboto" w:hAnsi="Roboto" w:cs="Roboto"/>
          <w:b/>
          <w:sz w:val="20"/>
          <w:szCs w:val="20"/>
        </w:rPr>
      </w:pPr>
      <w:r>
        <w:rPr>
          <w:rFonts w:ascii="Roboto" w:eastAsia="Roboto" w:hAnsi="Roboto" w:cs="Roboto"/>
          <w:b/>
          <w:sz w:val="20"/>
          <w:szCs w:val="20"/>
        </w:rPr>
        <w:t>Conclusión</w:t>
      </w:r>
      <w:r w:rsidR="00AD3E57">
        <w:rPr>
          <w:rFonts w:ascii="Roboto" w:eastAsia="Roboto" w:hAnsi="Roboto" w:cs="Roboto"/>
          <w:b/>
          <w:sz w:val="20"/>
          <w:szCs w:val="20"/>
        </w:rPr>
        <w:t xml:space="preserve"> </w:t>
      </w:r>
    </w:p>
    <w:p w14:paraId="06F90ED2" w14:textId="4175BF85" w:rsidR="00B47A97" w:rsidRDefault="00DC7A76">
      <w:pPr>
        <w:jc w:val="both"/>
        <w:rPr>
          <w:rFonts w:ascii="Roboto" w:eastAsia="Roboto" w:hAnsi="Roboto" w:cs="Roboto"/>
          <w:sz w:val="20"/>
          <w:szCs w:val="20"/>
        </w:rPr>
      </w:pPr>
      <w:r w:rsidRPr="00DC7A76">
        <w:rPr>
          <w:rFonts w:ascii="Roboto" w:eastAsia="Roboto" w:hAnsi="Roboto" w:cs="Roboto"/>
          <w:sz w:val="20"/>
          <w:szCs w:val="20"/>
        </w:rPr>
        <w:t xml:space="preserve">El estudio concluye que el modelo de LAP constituye una etapa </w:t>
      </w:r>
      <w:proofErr w:type="spellStart"/>
      <w:r w:rsidRPr="00DC7A76">
        <w:rPr>
          <w:rFonts w:ascii="Roboto" w:eastAsia="Roboto" w:hAnsi="Roboto" w:cs="Roboto"/>
          <w:sz w:val="20"/>
          <w:szCs w:val="20"/>
        </w:rPr>
        <w:t>pre-científica</w:t>
      </w:r>
      <w:proofErr w:type="spellEnd"/>
      <w:r w:rsidRPr="00DC7A76">
        <w:rPr>
          <w:rFonts w:ascii="Roboto" w:eastAsia="Roboto" w:hAnsi="Roboto" w:cs="Roboto"/>
          <w:sz w:val="20"/>
          <w:szCs w:val="20"/>
        </w:rPr>
        <w:t xml:space="preserve"> marcada por un reduccionismo moral y un solipsismo que, al priorizar virtudes individuales internas, genera un idealismo inoperante con alta autopercepción ética pero insuficiente capacidad de mediación social. En contraste, el modelo de LBC representa una evolución hacia una ciencia social aplicada que reubica la ética en una arquitectura sistémica, concibiendo el liderazgo como una capacidad relacional para producir agencia y equidad medibles en lugar de una propiedad moral privada. Este desplazamiento epistemológico, que transita de la virtud declarada a la eficacia verificable, supera la brecha entre conciencia y praxis al reconocer que la acción humana es situada y estructural, exigiendo a las universidades formar no solo sujetos virtuosos, sino arquitectos de dinámicas comunes capaces de transformar efectivamente el entorno social mediante la responsabilidad estructural y la producción real de bienes compartidos.</w:t>
      </w:r>
    </w:p>
    <w:p w14:paraId="06F90ED3" w14:textId="77777777" w:rsidR="00B47A97" w:rsidRDefault="00B47A97">
      <w:pPr>
        <w:jc w:val="both"/>
        <w:rPr>
          <w:rFonts w:ascii="Roboto" w:eastAsia="Roboto" w:hAnsi="Roboto" w:cs="Roboto"/>
          <w:sz w:val="20"/>
          <w:szCs w:val="20"/>
        </w:rPr>
      </w:pPr>
    </w:p>
    <w:p w14:paraId="06F90ED4" w14:textId="196E6E75" w:rsidR="00B47A97" w:rsidRDefault="00AD3E57">
      <w:pPr>
        <w:jc w:val="both"/>
        <w:rPr>
          <w:rFonts w:ascii="Roboto" w:eastAsia="Roboto" w:hAnsi="Roboto" w:cs="Roboto"/>
          <w:b/>
          <w:sz w:val="20"/>
          <w:szCs w:val="20"/>
        </w:rPr>
      </w:pPr>
      <w:r>
        <w:rPr>
          <w:rFonts w:ascii="Roboto" w:eastAsia="Roboto" w:hAnsi="Roboto" w:cs="Roboto"/>
          <w:b/>
          <w:sz w:val="20"/>
          <w:szCs w:val="20"/>
        </w:rPr>
        <w:t xml:space="preserve">REFERENCIAS </w:t>
      </w:r>
    </w:p>
    <w:p w14:paraId="06F90ED8" w14:textId="7D813A74" w:rsidR="00B47A97" w:rsidRDefault="000C571A">
      <w:pPr>
        <w:jc w:val="both"/>
        <w:rPr>
          <w:rFonts w:ascii="Roboto" w:eastAsia="Roboto" w:hAnsi="Roboto" w:cs="Roboto"/>
          <w:sz w:val="20"/>
          <w:szCs w:val="20"/>
        </w:rPr>
      </w:pPr>
      <w:proofErr w:type="spellStart"/>
      <w:r w:rsidRPr="000C571A">
        <w:rPr>
          <w:rFonts w:ascii="Roboto" w:eastAsia="Roboto" w:hAnsi="Roboto" w:cs="Roboto"/>
          <w:sz w:val="20"/>
          <w:szCs w:val="20"/>
        </w:rPr>
        <w:t>Aldrette</w:t>
      </w:r>
      <w:proofErr w:type="spellEnd"/>
      <w:r w:rsidRPr="000C571A">
        <w:rPr>
          <w:rFonts w:ascii="Roboto" w:eastAsia="Roboto" w:hAnsi="Roboto" w:cs="Roboto"/>
          <w:sz w:val="20"/>
          <w:szCs w:val="20"/>
        </w:rPr>
        <w:t xml:space="preserve"> Elizondo, A. de J. (2023). Aproximación a los fundamentos teóricos del liderazgo de acción positiva. En J. López González, N. Picazo Villaseñor, y E. A. Martínez, </w:t>
      </w:r>
      <w:r w:rsidRPr="000C571A">
        <w:rPr>
          <w:rFonts w:ascii="Roboto" w:eastAsia="Roboto" w:hAnsi="Roboto" w:cs="Roboto"/>
          <w:i/>
          <w:iCs/>
          <w:sz w:val="20"/>
          <w:szCs w:val="20"/>
        </w:rPr>
        <w:t>Liderazgo de acción positiva</w:t>
      </w:r>
      <w:r w:rsidRPr="000C571A">
        <w:rPr>
          <w:rFonts w:ascii="Roboto" w:eastAsia="Roboto" w:hAnsi="Roboto" w:cs="Roboto"/>
          <w:sz w:val="20"/>
          <w:szCs w:val="20"/>
        </w:rPr>
        <w:t xml:space="preserve"> (pp. 27-46). Octaedro.</w:t>
      </w:r>
    </w:p>
    <w:p w14:paraId="17BE4EDC" w14:textId="02128EAC" w:rsidR="00DC7A76" w:rsidRDefault="006C3151" w:rsidP="0036140B">
      <w:pPr>
        <w:jc w:val="both"/>
        <w:rPr>
          <w:rFonts w:ascii="Roboto" w:eastAsia="Roboto" w:hAnsi="Roboto" w:cs="Roboto"/>
          <w:sz w:val="20"/>
          <w:szCs w:val="20"/>
        </w:rPr>
      </w:pPr>
      <w:r w:rsidRPr="006C3151">
        <w:rPr>
          <w:rFonts w:ascii="Roboto" w:eastAsia="Roboto" w:hAnsi="Roboto" w:cs="Roboto"/>
          <w:sz w:val="20"/>
          <w:szCs w:val="20"/>
        </w:rPr>
        <w:t xml:space="preserve">de Aquino, T. (2003). </w:t>
      </w:r>
      <w:r w:rsidRPr="006C3151">
        <w:rPr>
          <w:rFonts w:ascii="Roboto" w:eastAsia="Roboto" w:hAnsi="Roboto" w:cs="Roboto"/>
          <w:i/>
          <w:iCs/>
          <w:sz w:val="20"/>
          <w:szCs w:val="20"/>
        </w:rPr>
        <w:t>Opúsculos y cuestiones selectas II</w:t>
      </w:r>
      <w:r w:rsidRPr="006C3151">
        <w:rPr>
          <w:rFonts w:ascii="Roboto" w:eastAsia="Roboto" w:hAnsi="Roboto" w:cs="Roboto"/>
          <w:sz w:val="20"/>
          <w:szCs w:val="20"/>
        </w:rPr>
        <w:t>. Gredos.</w:t>
      </w:r>
      <w:r w:rsidR="0036140B" w:rsidRPr="00DC7A76">
        <w:rPr>
          <w:rFonts w:ascii="Roboto" w:eastAsia="Roboto" w:hAnsi="Roboto" w:cs="Roboto"/>
          <w:sz w:val="20"/>
          <w:szCs w:val="20"/>
        </w:rPr>
        <w:t xml:space="preserve"> </w:t>
      </w:r>
      <w:r w:rsidR="00DC7A76" w:rsidRPr="00DC7A76">
        <w:rPr>
          <w:rFonts w:ascii="Roboto" w:eastAsia="Roboto" w:hAnsi="Roboto" w:cs="Roboto"/>
          <w:sz w:val="20"/>
          <w:szCs w:val="20"/>
        </w:rPr>
        <w:br/>
        <w:t xml:space="preserve">Gutiérrez-González, M. A. (2025). Las virtudes intelectuales como horizonte normativo de las dinámicas de bienes comunes en las universidades. En M. Nebel y M. A. Gutiérrez-González (Eds.), </w:t>
      </w:r>
      <w:r w:rsidR="00DC7A76" w:rsidRPr="00DC7A76">
        <w:rPr>
          <w:rFonts w:ascii="Roboto" w:eastAsia="Roboto" w:hAnsi="Roboto" w:cs="Roboto"/>
          <w:i/>
          <w:iCs/>
          <w:sz w:val="20"/>
          <w:szCs w:val="20"/>
        </w:rPr>
        <w:t>Universidades y bien común. Métrica de la calidad educativa desde un enfoque de bien común</w:t>
      </w:r>
      <w:r w:rsidR="00DC7A76" w:rsidRPr="00DC7A76">
        <w:rPr>
          <w:rFonts w:ascii="Roboto" w:eastAsia="Roboto" w:hAnsi="Roboto" w:cs="Roboto"/>
          <w:sz w:val="20"/>
          <w:szCs w:val="20"/>
        </w:rPr>
        <w:t xml:space="preserve"> (pp. 229-276). Tirant lo Blanch.</w:t>
      </w:r>
    </w:p>
    <w:p w14:paraId="0A68428A" w14:textId="2A2D8FBE" w:rsidR="00187354" w:rsidRPr="000C571A" w:rsidRDefault="00187354" w:rsidP="0036140B">
      <w:pPr>
        <w:jc w:val="both"/>
        <w:rPr>
          <w:rFonts w:ascii="Roboto" w:eastAsia="Roboto" w:hAnsi="Roboto" w:cs="Roboto"/>
          <w:sz w:val="20"/>
          <w:szCs w:val="20"/>
        </w:rPr>
      </w:pPr>
      <w:r w:rsidRPr="00187354">
        <w:rPr>
          <w:rFonts w:ascii="Roboto" w:eastAsia="Roboto" w:hAnsi="Roboto" w:cs="Roboto"/>
          <w:sz w:val="20"/>
          <w:szCs w:val="20"/>
        </w:rPr>
        <w:t xml:space="preserve">López-González, J. (2025). El liderazgo y sus causas desde una perspectiva aristotélico-tomista. En J. López-González, R. Virués, S. Escobar, D. Arboleda, S. Acevedo (Eds.), </w:t>
      </w:r>
      <w:r w:rsidRPr="00187354">
        <w:rPr>
          <w:rFonts w:ascii="Roboto" w:eastAsia="Roboto" w:hAnsi="Roboto" w:cs="Roboto"/>
          <w:i/>
          <w:iCs/>
          <w:sz w:val="20"/>
          <w:szCs w:val="20"/>
        </w:rPr>
        <w:t>Educación en liderazgo. Actas II Congreso Internacional de Liderazgo</w:t>
      </w:r>
      <w:r w:rsidRPr="00187354">
        <w:rPr>
          <w:rFonts w:ascii="Roboto" w:eastAsia="Roboto" w:hAnsi="Roboto" w:cs="Roboto"/>
          <w:sz w:val="20"/>
          <w:szCs w:val="20"/>
        </w:rPr>
        <w:t>, (pp. 25- 28). Octaedro.</w:t>
      </w:r>
    </w:p>
    <w:sectPr w:rsidR="00187354" w:rsidRPr="000C571A">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33D909" w14:textId="77777777" w:rsidR="00083FC7" w:rsidRDefault="00083FC7">
      <w:r>
        <w:separator/>
      </w:r>
    </w:p>
  </w:endnote>
  <w:endnote w:type="continuationSeparator" w:id="0">
    <w:p w14:paraId="700CD601" w14:textId="77777777" w:rsidR="00083FC7" w:rsidRDefault="00083F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66828916-A78E-4511-B900-4D44774A441B}"/>
  </w:font>
  <w:font w:name="Georgia">
    <w:panose1 w:val="02040502050405020303"/>
    <w:charset w:val="00"/>
    <w:family w:val="roman"/>
    <w:pitch w:val="variable"/>
    <w:sig w:usb0="00000287" w:usb1="00000000" w:usb2="00000000" w:usb3="00000000" w:csb0="0000009F" w:csb1="00000000"/>
    <w:embedRegular r:id="rId2" w:fontKey="{6BC6BF14-04D3-4B06-8D36-7EF956BAA884}"/>
    <w:embedItalic r:id="rId3" w:fontKey="{E21F6BE6-995E-41AE-9310-9995F544FDE4}"/>
  </w:font>
  <w:font w:name="Roboto">
    <w:charset w:val="00"/>
    <w:family w:val="auto"/>
    <w:pitch w:val="variable"/>
    <w:sig w:usb0="E0000AFF" w:usb1="5000217F" w:usb2="00000021" w:usb3="00000000" w:csb0="0000019F" w:csb1="00000000"/>
    <w:embedRegular r:id="rId4" w:fontKey="{C395407E-ABBB-4589-87E9-6E6F43D88B39}"/>
    <w:embedBold r:id="rId5" w:fontKey="{6AF56372-4EB8-4C37-8304-15127D3D7050}"/>
    <w:embedItalic r:id="rId6" w:fontKey="{36FF735A-9304-4116-98B3-93FCB1E3F9E7}"/>
  </w:font>
  <w:font w:name="Noto Sans">
    <w:charset w:val="00"/>
    <w:family w:val="swiss"/>
    <w:pitch w:val="variable"/>
    <w:sig w:usb0="E00082FF" w:usb1="400078FF" w:usb2="00000021" w:usb3="00000000" w:csb0="0000019F" w:csb1="00000000"/>
    <w:embedRegular r:id="rId7" w:fontKey="{A328933D-657C-44EB-9686-745939199292}"/>
    <w:embedBold r:id="rId8" w:fontKey="{138D38C2-29EA-486E-A62B-BA5753E37837}"/>
  </w:font>
  <w:font w:name="Calibri Light">
    <w:panose1 w:val="020F0302020204030204"/>
    <w:charset w:val="00"/>
    <w:family w:val="swiss"/>
    <w:pitch w:val="variable"/>
    <w:sig w:usb0="E4002EFF" w:usb1="C000247B" w:usb2="00000009" w:usb3="00000000" w:csb0="000001FF" w:csb1="00000000"/>
    <w:embedRegular r:id="rId9" w:fontKey="{0EE8561E-DC40-4E69-8717-E24171B03DED}"/>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F4E312" w14:textId="77777777" w:rsidR="00083FC7" w:rsidRDefault="00083FC7">
      <w:r>
        <w:separator/>
      </w:r>
    </w:p>
  </w:footnote>
  <w:footnote w:type="continuationSeparator" w:id="0">
    <w:p w14:paraId="0B87BFF1" w14:textId="77777777" w:rsidR="00083FC7" w:rsidRDefault="00083F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F90EDC" w14:textId="77777777" w:rsidR="00B47A97" w:rsidRDefault="00B47A97">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B47A97" w14:paraId="06F90EDE" w14:textId="77777777">
      <w:trPr>
        <w:trHeight w:val="345"/>
        <w:jc w:val="center"/>
      </w:trPr>
      <w:tc>
        <w:tcPr>
          <w:tcW w:w="6306" w:type="dxa"/>
          <w:vAlign w:val="center"/>
        </w:tcPr>
        <w:p w14:paraId="06F90EDD" w14:textId="77777777" w:rsidR="00B47A97" w:rsidRDefault="00B47A97">
          <w:pPr>
            <w:jc w:val="center"/>
            <w:rPr>
              <w:i/>
              <w:sz w:val="18"/>
              <w:szCs w:val="18"/>
            </w:rPr>
          </w:pPr>
        </w:p>
      </w:tc>
    </w:tr>
  </w:tbl>
  <w:p w14:paraId="06F90EDF" w14:textId="77777777" w:rsidR="00B47A97" w:rsidRDefault="00B47A97">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7A97"/>
    <w:rsid w:val="00050DEA"/>
    <w:rsid w:val="00083FC7"/>
    <w:rsid w:val="000A52C5"/>
    <w:rsid w:val="000C571A"/>
    <w:rsid w:val="000E28F2"/>
    <w:rsid w:val="0012072B"/>
    <w:rsid w:val="00187354"/>
    <w:rsid w:val="002565BA"/>
    <w:rsid w:val="002767E6"/>
    <w:rsid w:val="002B21E5"/>
    <w:rsid w:val="002B6249"/>
    <w:rsid w:val="00305502"/>
    <w:rsid w:val="0036140B"/>
    <w:rsid w:val="004F0D44"/>
    <w:rsid w:val="004F0F10"/>
    <w:rsid w:val="004F52E8"/>
    <w:rsid w:val="0053096E"/>
    <w:rsid w:val="005372B9"/>
    <w:rsid w:val="00541D45"/>
    <w:rsid w:val="0060014F"/>
    <w:rsid w:val="006C3151"/>
    <w:rsid w:val="00703B51"/>
    <w:rsid w:val="0075603A"/>
    <w:rsid w:val="00870FD4"/>
    <w:rsid w:val="009453A1"/>
    <w:rsid w:val="009C728B"/>
    <w:rsid w:val="009E4378"/>
    <w:rsid w:val="00A455E0"/>
    <w:rsid w:val="00A65763"/>
    <w:rsid w:val="00AC2C83"/>
    <w:rsid w:val="00AD3E57"/>
    <w:rsid w:val="00B47A97"/>
    <w:rsid w:val="00B75E15"/>
    <w:rsid w:val="00C34DC7"/>
    <w:rsid w:val="00C41FEC"/>
    <w:rsid w:val="00C80027"/>
    <w:rsid w:val="00D80120"/>
    <w:rsid w:val="00DC7A76"/>
    <w:rsid w:val="00EA283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90EAC"/>
  <w15:docId w15:val="{DA3E97FD-1185-4DD2-B316-6510E996F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2</Pages>
  <Words>1630</Words>
  <Characters>9537</Characters>
  <Application>Microsoft Office Word</Application>
  <DocSecurity>0</DocSecurity>
  <Lines>230</Lines>
  <Paragraphs>27</Paragraphs>
  <ScaleCrop>false</ScaleCrop>
  <Company/>
  <LinksUpToDate>false</LinksUpToDate>
  <CharactersWithSpaces>11141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MAGG</cp:lastModifiedBy>
  <cp:revision>30</cp:revision>
  <dcterms:created xsi:type="dcterms:W3CDTF">2025-09-09T17:06:00Z</dcterms:created>
  <dcterms:modified xsi:type="dcterms:W3CDTF">2026-02-26T17:52:00Z</dcterms:modified>
</cp:coreProperties>
</file>