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1F544F" w14:textId="182640FF" w:rsidR="00107E19" w:rsidRDefault="00D21222">
      <w:pPr>
        <w:pBdr>
          <w:top w:val="nil"/>
          <w:left w:val="nil"/>
          <w:bottom w:val="nil"/>
          <w:right w:val="nil"/>
          <w:between w:val="nil"/>
        </w:pBdr>
        <w:spacing w:before="120" w:after="120"/>
        <w:jc w:val="center"/>
        <w:rPr>
          <w:rFonts w:ascii="Roboto" w:eastAsia="Roboto" w:hAnsi="Roboto" w:cs="Roboto"/>
          <w:b/>
          <w:color w:val="000000"/>
        </w:rPr>
      </w:pPr>
      <w:r>
        <w:rPr>
          <w:rFonts w:ascii="Roboto" w:eastAsia="Roboto" w:hAnsi="Roboto" w:cs="Roboto"/>
          <w:b/>
          <w:color w:val="000000"/>
        </w:rPr>
        <w:t xml:space="preserve">La </w:t>
      </w:r>
      <w:r w:rsidR="00A86D08">
        <w:rPr>
          <w:rFonts w:ascii="Roboto" w:eastAsia="Roboto" w:hAnsi="Roboto" w:cs="Roboto"/>
          <w:b/>
          <w:color w:val="000000"/>
        </w:rPr>
        <w:t>perspectiva accional como propuesta</w:t>
      </w:r>
      <w:r>
        <w:rPr>
          <w:rFonts w:ascii="Roboto" w:eastAsia="Roboto" w:hAnsi="Roboto" w:cs="Roboto"/>
          <w:b/>
          <w:color w:val="000000"/>
        </w:rPr>
        <w:t xml:space="preserve"> </w:t>
      </w:r>
      <w:r w:rsidR="00A86D08">
        <w:rPr>
          <w:rFonts w:ascii="Roboto" w:eastAsia="Roboto" w:hAnsi="Roboto" w:cs="Roboto"/>
          <w:b/>
          <w:color w:val="000000"/>
        </w:rPr>
        <w:t xml:space="preserve">metodológica para </w:t>
      </w:r>
      <w:r>
        <w:rPr>
          <w:rFonts w:ascii="Roboto" w:eastAsia="Roboto" w:hAnsi="Roboto" w:cs="Roboto"/>
          <w:b/>
          <w:color w:val="000000"/>
        </w:rPr>
        <w:t xml:space="preserve">la autoeficacia </w:t>
      </w:r>
      <w:r w:rsidR="00A86D08">
        <w:rPr>
          <w:rFonts w:ascii="Roboto" w:eastAsia="Roboto" w:hAnsi="Roboto" w:cs="Roboto"/>
          <w:b/>
          <w:color w:val="000000"/>
        </w:rPr>
        <w:t>académica</w:t>
      </w:r>
    </w:p>
    <w:p w14:paraId="7FF22ACB" w14:textId="5E67BC76" w:rsidR="00107E19" w:rsidRDefault="00D21222">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Iglesias-Marrero J.</w:t>
      </w:r>
    </w:p>
    <w:p w14:paraId="0860B49F" w14:textId="631F4608" w:rsidR="00107E19" w:rsidRPr="002A0903" w:rsidRDefault="00D21222" w:rsidP="002A0903">
      <w:pPr>
        <w:pStyle w:val="Ttulo2"/>
        <w:jc w:val="center"/>
        <w:rPr>
          <w:rFonts w:ascii="Roboto" w:eastAsia="Roboto" w:hAnsi="Roboto" w:cs="Roboto"/>
          <w:b w:val="0"/>
          <w:sz w:val="18"/>
          <w:szCs w:val="18"/>
        </w:rPr>
      </w:pPr>
      <w:r w:rsidRPr="00A86D08">
        <w:rPr>
          <w:rFonts w:ascii="Roboto" w:eastAsia="Roboto" w:hAnsi="Roboto" w:cs="Roboto"/>
          <w:b w:val="0"/>
          <w:sz w:val="18"/>
          <w:szCs w:val="18"/>
        </w:rPr>
        <w:t xml:space="preserve">Universidad Anáhuac México, </w:t>
      </w:r>
      <w:hyperlink r:id="rId7" w:history="1">
        <w:r w:rsidR="00A86D08" w:rsidRPr="00283301">
          <w:rPr>
            <w:rStyle w:val="Hipervnculo"/>
            <w:rFonts w:ascii="Roboto" w:eastAsia="Roboto" w:hAnsi="Roboto" w:cs="Roboto"/>
            <w:b w:val="0"/>
            <w:sz w:val="18"/>
            <w:szCs w:val="18"/>
          </w:rPr>
          <w:t>https://orcid.org/0000-0003-2605-5475</w:t>
        </w:r>
      </w:hyperlink>
      <w:r w:rsidR="00A86D08">
        <w:rPr>
          <w:rFonts w:ascii="Roboto" w:eastAsia="Roboto" w:hAnsi="Roboto" w:cs="Roboto"/>
          <w:b w:val="0"/>
          <w:sz w:val="18"/>
          <w:szCs w:val="18"/>
        </w:rPr>
        <w:t xml:space="preserve"> </w:t>
      </w:r>
    </w:p>
    <w:p w14:paraId="70C75B64" w14:textId="77777777" w:rsidR="00107E19" w:rsidRDefault="009C5893" w:rsidP="00A86D08">
      <w:pPr>
        <w:spacing w:before="60"/>
        <w:rPr>
          <w:rFonts w:ascii="Roboto" w:eastAsia="Roboto" w:hAnsi="Roboto" w:cs="Roboto"/>
          <w:sz w:val="18"/>
          <w:szCs w:val="18"/>
        </w:rPr>
        <w:sectPr w:rsidR="00107E19">
          <w:headerReference w:type="default" r:id="rId8"/>
          <w:pgSz w:w="11906" w:h="16838"/>
          <w:pgMar w:top="851" w:right="851" w:bottom="828" w:left="851" w:header="357" w:footer="720" w:gutter="0"/>
          <w:pgNumType w:start="1"/>
          <w:cols w:space="720"/>
        </w:sectPr>
      </w:pPr>
      <w:r>
        <w:rPr>
          <w:noProof/>
        </w:rPr>
        <w:pict w14:anchorId="7837F61B">
          <v:rect id="_x0000_i1025" alt="" style="width:441.9pt;height:.05pt;mso-width-percent:0;mso-height-percent:0;mso-width-percent:0;mso-height-percent:0" o:hralign="center" o:hrstd="t" o:hr="t" fillcolor="#a0a0a0" stroked="f"/>
        </w:pict>
      </w:r>
    </w:p>
    <w:p w14:paraId="2B0A026E" w14:textId="522D3498" w:rsidR="00107E19" w:rsidRDefault="00A86D08">
      <w:pPr>
        <w:pBdr>
          <w:top w:val="nil"/>
          <w:left w:val="nil"/>
          <w:bottom w:val="nil"/>
          <w:right w:val="nil"/>
          <w:between w:val="nil"/>
        </w:pBdr>
        <w:spacing w:before="60"/>
        <w:jc w:val="both"/>
        <w:rPr>
          <w:rFonts w:ascii="Roboto" w:eastAsia="Roboto" w:hAnsi="Roboto" w:cs="Roboto"/>
          <w:b/>
          <w:color w:val="000000"/>
          <w:sz w:val="20"/>
          <w:szCs w:val="20"/>
        </w:rPr>
      </w:pPr>
      <w:r>
        <w:rPr>
          <w:rFonts w:ascii="Roboto" w:eastAsia="Roboto" w:hAnsi="Roboto" w:cs="Roboto"/>
          <w:b/>
          <w:color w:val="000000"/>
          <w:sz w:val="20"/>
          <w:szCs w:val="20"/>
        </w:rPr>
        <w:t>INTRODUCCIÓN</w:t>
      </w:r>
    </w:p>
    <w:p w14:paraId="3A0BF1D4" w14:textId="41B72D48" w:rsidR="00107E19" w:rsidRPr="006565F3" w:rsidRDefault="006565F3" w:rsidP="006565F3">
      <w:pPr>
        <w:jc w:val="both"/>
        <w:rPr>
          <w:rFonts w:ascii="Roboto" w:eastAsia="Roboto" w:hAnsi="Roboto" w:cs="Roboto"/>
          <w:color w:val="000000"/>
          <w:sz w:val="20"/>
          <w:szCs w:val="20"/>
        </w:rPr>
      </w:pPr>
      <w:r w:rsidRPr="00465869">
        <w:rPr>
          <w:rFonts w:ascii="Roboto" w:eastAsia="Roboto" w:hAnsi="Roboto" w:cs="Roboto"/>
          <w:color w:val="000000"/>
          <w:sz w:val="20"/>
          <w:szCs w:val="20"/>
        </w:rPr>
        <w:t>Facilitar que el alumnado realice ejercicios académicos en contextos auténticos y específicos, aunque sean concebidos en la escuela no se limitan a sus muros, permite ir más allá del despliegue de competencias lingüísticas para integrar competencias socioculturales amplias.</w:t>
      </w:r>
      <w:r>
        <w:rPr>
          <w:rFonts w:ascii="Roboto" w:eastAsia="Roboto" w:hAnsi="Roboto" w:cs="Roboto"/>
          <w:color w:val="000000"/>
          <w:sz w:val="20"/>
          <w:szCs w:val="20"/>
        </w:rPr>
        <w:t xml:space="preserve"> </w:t>
      </w:r>
      <w:r w:rsidRPr="00465869">
        <w:rPr>
          <w:rFonts w:ascii="Roboto" w:eastAsia="Roboto" w:hAnsi="Roboto" w:cs="Roboto"/>
          <w:color w:val="000000"/>
          <w:sz w:val="20"/>
          <w:szCs w:val="20"/>
        </w:rPr>
        <w:t>Las actuaciones específicas tienen una estrecha relación con el sentido de eficacia en condiciones naturales y cotidianas, por lo que su práctica sistemática puede incidir favorablemente en la creencia del estudiante respecto a sus logros de ejecución.</w:t>
      </w:r>
      <w:r>
        <w:rPr>
          <w:rFonts w:ascii="Roboto" w:eastAsia="Roboto" w:hAnsi="Roboto" w:cs="Roboto"/>
          <w:color w:val="000000"/>
          <w:sz w:val="20"/>
          <w:szCs w:val="20"/>
        </w:rPr>
        <w:t xml:space="preserve"> </w:t>
      </w:r>
      <w:r w:rsidRPr="00465869">
        <w:rPr>
          <w:rFonts w:ascii="Roboto" w:eastAsia="Roboto" w:hAnsi="Roboto" w:cs="Roboto"/>
          <w:color w:val="000000"/>
          <w:sz w:val="20"/>
          <w:szCs w:val="20"/>
        </w:rPr>
        <w:t>La manera en que la perspectiva accional influye en el sentido de eficacia del alumnado debe ser analizada con mayor rigor para poder emitir un juicio de valor adecuado sobre el potencial despliegue de las capacidades comunicativas y la confianza en el logro de ejecución dadas las respectivas aplicaciones de los idiomas estudiados</w:t>
      </w:r>
      <w:r>
        <w:rPr>
          <w:rFonts w:ascii="Roboto" w:eastAsia="Roboto" w:hAnsi="Roboto" w:cs="Roboto"/>
          <w:color w:val="000000"/>
          <w:sz w:val="20"/>
          <w:szCs w:val="20"/>
        </w:rPr>
        <w:t>.</w:t>
      </w:r>
    </w:p>
    <w:p w14:paraId="774930DF" w14:textId="77777777" w:rsidR="00107E19" w:rsidRDefault="00107E19">
      <w:pPr>
        <w:pBdr>
          <w:top w:val="nil"/>
          <w:left w:val="nil"/>
          <w:bottom w:val="nil"/>
          <w:right w:val="nil"/>
          <w:between w:val="nil"/>
        </w:pBdr>
        <w:jc w:val="both"/>
        <w:rPr>
          <w:rFonts w:ascii="Roboto" w:eastAsia="Roboto" w:hAnsi="Roboto" w:cs="Roboto"/>
          <w:b/>
          <w:color w:val="000000"/>
          <w:sz w:val="20"/>
          <w:szCs w:val="20"/>
        </w:rPr>
      </w:pPr>
    </w:p>
    <w:p w14:paraId="4DE4D991" w14:textId="7381C06E" w:rsidR="00107E19" w:rsidRDefault="006565F3">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APROXIMACIÓN TEÓRICA</w:t>
      </w:r>
    </w:p>
    <w:p w14:paraId="53182C6E" w14:textId="284C7613" w:rsidR="006565F3" w:rsidRPr="00465869" w:rsidRDefault="006565F3" w:rsidP="006565F3">
      <w:pPr>
        <w:jc w:val="both"/>
        <w:rPr>
          <w:rFonts w:ascii="Roboto" w:eastAsia="Roboto" w:hAnsi="Roboto" w:cs="Roboto"/>
          <w:color w:val="000000"/>
          <w:sz w:val="20"/>
          <w:szCs w:val="20"/>
        </w:rPr>
      </w:pPr>
      <w:r w:rsidRPr="00465869">
        <w:rPr>
          <w:rFonts w:ascii="Roboto" w:eastAsia="Roboto" w:hAnsi="Roboto" w:cs="Roboto"/>
          <w:color w:val="000000"/>
          <w:sz w:val="20"/>
          <w:szCs w:val="20"/>
        </w:rPr>
        <w:t xml:space="preserve">La vivencia y experiencia social a través de la relación intersubjetiva son elementos distintivos de la perpectiva accional, para que el discente conceda significado y sentido más allá de los contenidos teóricos </w:t>
      </w:r>
      <w:sdt>
        <w:sdtPr>
          <w:rPr>
            <w:rFonts w:ascii="Roboto" w:eastAsia="Roboto" w:hAnsi="Roboto" w:cs="Roboto"/>
            <w:color w:val="000000"/>
            <w:sz w:val="20"/>
            <w:szCs w:val="20"/>
          </w:rPr>
          <w:alias w:val="Citation"/>
          <w:tag w:val="{&quot;referencesIds&quot;:[&quot;doc:67532e024f183b66fe7349cc&quot;],&quot;referencesOptions&quot;:{&quot;doc:67532e024f183b66fe7349cc&quot;:{&quot;author&quot;:true,&quot;year&quot;:true,&quot;formatAuthorYear&quot;:false,&quot;pageReplace&quot;:&quot;&quot;,&quot;prefix&quot;:&quot;&quot;,&quot;suffix&quot;:&quot;&quot;}},&quot;hasBrokenReferences&quot;:false,&quot;hasManualEdits&quot;:false,&quot;isEmpty&quot;:false,&quot;citationType&quot;:&quot;inline&quot;,&quot;id&quot;:-1024789379,&quot;citationText&quot;:&quot;&lt;span style=\&quot;font-family:Times New Roman;font-size:16px;color:#000000\&quot;&gt;(Herrera Anaya &amp;amp; Gutiérrez Carvajal, 2019)&lt;/span&gt;&quot;}"/>
          <w:id w:val="-1024789379"/>
          <w:placeholder>
            <w:docPart w:val="2AD90FFA813B3A45B91DDFA591107C99"/>
          </w:placeholder>
        </w:sdtPr>
        <w:sdtContent>
          <w:r w:rsidRPr="00465869">
            <w:rPr>
              <w:rFonts w:ascii="Roboto" w:eastAsia="Roboto" w:hAnsi="Roboto" w:cs="Roboto"/>
              <w:color w:val="000000"/>
              <w:sz w:val="20"/>
              <w:szCs w:val="20"/>
            </w:rPr>
            <w:t>(Herrera y Gutiérrez, 2019)</w:t>
          </w:r>
        </w:sdtContent>
      </w:sdt>
      <w:r w:rsidRPr="00465869">
        <w:rPr>
          <w:rFonts w:ascii="Roboto" w:eastAsia="Roboto" w:hAnsi="Roboto" w:cs="Roboto"/>
          <w:color w:val="000000"/>
          <w:sz w:val="20"/>
          <w:szCs w:val="20"/>
        </w:rPr>
        <w:t xml:space="preserve">; la inmersión en la narrativa cotidiana y la transformación del estudiante por medio de la acción comunicativa en el aula, en el patio escolar y en cualquier otro entorno, adquieren la relevancia didáctica superando el paradigma instrumentalista </w:t>
      </w:r>
      <w:sdt>
        <w:sdtPr>
          <w:rPr>
            <w:rFonts w:ascii="Roboto" w:eastAsia="Roboto" w:hAnsi="Roboto" w:cs="Roboto"/>
            <w:color w:val="000000"/>
            <w:sz w:val="20"/>
            <w:szCs w:val="20"/>
          </w:rPr>
          <w:alias w:val="Citation"/>
          <w:tag w:val="{&quot;referencesIds&quot;:[&quot;doc:678a70b2c3b31079131acaae&quot;],&quot;referencesOptions&quot;:{&quot;doc:678a70b2c3b31079131acaae&quot;:{&quot;author&quot;:true,&quot;year&quot;:true,&quot;formatAuthorYear&quot;:false,&quot;pageReplace&quot;:&quot;&quot;,&quot;prefix&quot;:&quot;&quot;,&quot;suffix&quot;:&quot;&quot;}},&quot;hasBrokenReferences&quot;:false,&quot;hasManualEdits&quot;:false,&quot;isEmpty&quot;:false,&quot;citationType&quot;:&quot;inline&quot;,&quot;id&quot;:2108844342,&quot;citationText&quot;:&quot;&lt;span style=\&quot;font-family:Times New Roman;font-size:16px;color:#000000\&quot;&gt;(Bourguignon, 2006)&lt;/span&gt;&quot;}"/>
          <w:id w:val="2108844342"/>
          <w:placeholder>
            <w:docPart w:val="A4B1DC6CA0384C4181DB6FE64680A02E"/>
          </w:placeholder>
        </w:sdtPr>
        <w:sdtContent>
          <w:r w:rsidRPr="00465869">
            <w:rPr>
              <w:rFonts w:ascii="Roboto" w:eastAsia="Roboto" w:hAnsi="Roboto" w:cs="Roboto"/>
              <w:color w:val="000000"/>
              <w:sz w:val="20"/>
              <w:szCs w:val="20"/>
            </w:rPr>
            <w:t>(Bourguignon, 2006</w:t>
          </w:r>
        </w:sdtContent>
      </w:sdt>
      <w:r w:rsidRPr="00465869">
        <w:rPr>
          <w:rFonts w:ascii="Roboto" w:eastAsia="Roboto" w:hAnsi="Roboto" w:cs="Roboto"/>
          <w:color w:val="000000"/>
          <w:sz w:val="20"/>
          <w:szCs w:val="20"/>
        </w:rPr>
        <w:t xml:space="preserve">. </w:t>
      </w:r>
    </w:p>
    <w:p w14:paraId="616D4B0E" w14:textId="0C3579EA" w:rsidR="006565F3" w:rsidRPr="00465869" w:rsidRDefault="006565F3" w:rsidP="006565F3">
      <w:pPr>
        <w:jc w:val="both"/>
        <w:rPr>
          <w:rFonts w:ascii="Roboto" w:eastAsia="Roboto" w:hAnsi="Roboto" w:cs="Roboto"/>
          <w:color w:val="000000"/>
          <w:sz w:val="20"/>
          <w:szCs w:val="20"/>
        </w:rPr>
      </w:pPr>
      <w:r w:rsidRPr="00465869">
        <w:rPr>
          <w:rFonts w:ascii="Roboto" w:eastAsia="Roboto" w:hAnsi="Roboto" w:cs="Roboto"/>
          <w:color w:val="000000"/>
          <w:sz w:val="20"/>
          <w:szCs w:val="20"/>
        </w:rPr>
        <w:t xml:space="preserve">En el Marco Común Europeo de Referencia para las Lenguas (MCER) se destaca la perspectiva accional como realidad de movilidad del alumnado gracias a sus competencias lingüísticas y culturales </w:t>
      </w:r>
      <w:sdt>
        <w:sdtPr>
          <w:rPr>
            <w:rFonts w:ascii="Roboto" w:eastAsia="Roboto" w:hAnsi="Roboto" w:cs="Roboto"/>
            <w:color w:val="000000"/>
            <w:sz w:val="20"/>
            <w:szCs w:val="20"/>
          </w:rPr>
          <w:alias w:val="Citation"/>
          <w:tag w:val="{&quot;referencesIds&quot;:[&quot;doc:67884b100e4c7c263417f93c&quot;],&quot;referencesOptions&quot;:{&quot;doc:67884b100e4c7c263417f93c&quot;:{&quot;author&quot;:true,&quot;year&quot;:true,&quot;formatAuthorYear&quot;:false,&quot;pageReplace&quot;:&quot;&quot;,&quot;prefix&quot;:&quot;&quot;,&quot;suffix&quot;:&quot;&quot;}},&quot;hasBrokenReferences&quot;:false,&quot;hasManualEdits&quot;:false,&quot;isEmpty&quot;:false,&quot;citationType&quot;:&quot;inline&quot;,&quot;id&quot;:-2058699650,&quot;citationText&quot;:&quot;&lt;span style=\&quot;font-family:Times New Roman;font-size:16px;color:#000000\&quot;&gt;(Instituto Cervantes, 2002)&lt;/span&gt;&quot;}"/>
          <w:id w:val="-2058699650"/>
          <w:placeholder>
            <w:docPart w:val="3288C04CE634AC43A3BF9082716A69A4"/>
          </w:placeholder>
        </w:sdtPr>
        <w:sdtContent>
          <w:r w:rsidRPr="00465869">
            <w:rPr>
              <w:rFonts w:ascii="Roboto" w:eastAsia="Roboto" w:hAnsi="Roboto" w:cs="Roboto"/>
              <w:color w:val="000000"/>
              <w:sz w:val="20"/>
              <w:szCs w:val="20"/>
            </w:rPr>
            <w:t>(Instituto Cervantes, 2002)</w:t>
          </w:r>
        </w:sdtContent>
      </w:sdt>
      <w:r w:rsidRPr="00465869">
        <w:rPr>
          <w:rFonts w:ascii="Roboto" w:eastAsia="Roboto" w:hAnsi="Roboto" w:cs="Roboto"/>
          <w:color w:val="000000"/>
          <w:sz w:val="20"/>
          <w:szCs w:val="20"/>
        </w:rPr>
        <w:t xml:space="preserve">. Las metodologías de enseñanza sustentadas en esta perspectiva colocan al estudiante en el centro del proceso de aprendizaje; con tareas significativas van sentando sólidas bases académicas enfocadas a las subcompetencias pragmática y sociolingüística, para el desempeño en entornos presenciales y virtuales </w:t>
      </w:r>
      <w:sdt>
        <w:sdtPr>
          <w:rPr>
            <w:rFonts w:ascii="Roboto" w:eastAsia="Roboto" w:hAnsi="Roboto" w:cs="Roboto"/>
            <w:color w:val="000000"/>
            <w:sz w:val="20"/>
            <w:szCs w:val="20"/>
          </w:rPr>
          <w:alias w:val="Citation"/>
          <w:tag w:val="{&quot;referencesIds&quot;:[&quot;doc:67884a4916bbcb55fbe2317e&quot;],&quot;referencesOptions&quot;:{&quot;doc:67884a4916bbcb55fbe2317e&quot;:{&quot;author&quot;:true,&quot;year&quot;:true,&quot;formatAuthorYear&quot;:false,&quot;pageReplace&quot;:&quot;&quot;,&quot;prefix&quot;:&quot;&quot;,&quot;suffix&quot;:&quot;&quot;}},&quot;hasBrokenReferences&quot;:false,&quot;hasManualEdits&quot;:false,&quot;isEmpty&quot;:false,&quot;citationType&quot;:&quot;inline&quot;,&quot;id&quot;:-1462877544,&quot;citationText&quot;:&quot;&lt;span style=\&quot;font-family:Times New Roman;font-size:16px;color:#000000\&quot;&gt;(Clouet, 2010)&lt;/span&gt;&quot;}"/>
          <w:id w:val="-1462877544"/>
          <w:placeholder>
            <w:docPart w:val="04AB3F58DFB8E64F8E2198506A588B03"/>
          </w:placeholder>
        </w:sdtPr>
        <w:sdtContent>
          <w:r w:rsidRPr="00465869">
            <w:rPr>
              <w:rFonts w:ascii="Roboto" w:eastAsia="Roboto" w:hAnsi="Roboto" w:cs="Roboto"/>
              <w:color w:val="000000"/>
              <w:sz w:val="20"/>
              <w:szCs w:val="20"/>
            </w:rPr>
            <w:t>(</w:t>
          </w:r>
        </w:sdtContent>
      </w:sdt>
      <w:sdt>
        <w:sdtPr>
          <w:rPr>
            <w:rFonts w:ascii="Roboto" w:eastAsia="Roboto" w:hAnsi="Roboto" w:cs="Roboto"/>
            <w:color w:val="000000"/>
            <w:sz w:val="20"/>
            <w:szCs w:val="20"/>
          </w:rPr>
          <w:alias w:val="Citation"/>
          <w:tag w:val="{&quot;referencesIds&quot;:[&quot;doc:678a80e2d43b9c22c6680d51&quot;],&quot;referencesOptions&quot;:{&quot;doc:678a80e2d43b9c22c6680d51&quot;:{&quot;author&quot;:true,&quot;year&quot;:true,&quot;formatAuthorYear&quot;:false,&quot;pageReplace&quot;:&quot;&quot;,&quot;prefix&quot;:&quot;&quot;,&quot;suffix&quot;:&quot;&quot;}},&quot;hasBrokenReferences&quot;:false,&quot;hasManualEdits&quot;:false,&quot;isEmpty&quot;:false,&quot;citationType&quot;:&quot;inline&quot;,&quot;id&quot;:-1578431846,&quot;citationText&quot;:&quot;&lt;span style=\&quot;font-family:Times New Roman;font-size:16px;color:#000000\&quot;&gt;(Vittet, 2023)&lt;/span&gt;&quot;}"/>
          <w:id w:val="-1578431846"/>
          <w:placeholder>
            <w:docPart w:val="3C0C88E7D3F01E458CB44EA92BF1B053"/>
          </w:placeholder>
        </w:sdtPr>
        <w:sdtContent>
          <w:r w:rsidRPr="00465869">
            <w:rPr>
              <w:rFonts w:ascii="Roboto" w:eastAsia="Roboto" w:hAnsi="Roboto" w:cs="Roboto"/>
              <w:color w:val="000000"/>
              <w:sz w:val="20"/>
              <w:szCs w:val="20"/>
            </w:rPr>
            <w:t>Vittet, 2023)</w:t>
          </w:r>
        </w:sdtContent>
      </w:sdt>
      <w:r w:rsidRPr="00465869">
        <w:rPr>
          <w:rFonts w:ascii="Roboto" w:eastAsia="Roboto" w:hAnsi="Roboto" w:cs="Roboto"/>
          <w:color w:val="000000"/>
          <w:sz w:val="20"/>
          <w:szCs w:val="20"/>
        </w:rPr>
        <w:t>.</w:t>
      </w:r>
    </w:p>
    <w:p w14:paraId="38E542C9" w14:textId="77171C44" w:rsidR="006565F3" w:rsidRPr="00465869" w:rsidRDefault="006565F3" w:rsidP="006565F3">
      <w:pPr>
        <w:jc w:val="both"/>
        <w:rPr>
          <w:rFonts w:ascii="Roboto" w:eastAsia="Roboto" w:hAnsi="Roboto" w:cs="Roboto"/>
          <w:color w:val="000000"/>
          <w:sz w:val="20"/>
          <w:szCs w:val="20"/>
        </w:rPr>
      </w:pPr>
      <w:r w:rsidRPr="00465869">
        <w:rPr>
          <w:rFonts w:ascii="Roboto" w:eastAsia="Roboto" w:hAnsi="Roboto" w:cs="Roboto"/>
          <w:color w:val="000000"/>
          <w:sz w:val="20"/>
          <w:szCs w:val="20"/>
        </w:rPr>
        <w:t xml:space="preserve">Es decir, la perspectiva accional fomenta el uso del idioma extranjero que se está aprendiendo en situaciones reales y auténticas </w:t>
      </w:r>
      <w:r w:rsidR="00DE1862">
        <w:rPr>
          <w:rFonts w:ascii="Roboto" w:eastAsia="Roboto" w:hAnsi="Roboto" w:cs="Roboto"/>
          <w:color w:val="000000"/>
          <w:sz w:val="20"/>
          <w:szCs w:val="20"/>
        </w:rPr>
        <w:t>(</w:t>
      </w:r>
      <w:sdt>
        <w:sdtPr>
          <w:rPr>
            <w:rFonts w:ascii="Roboto" w:eastAsia="Roboto" w:hAnsi="Roboto" w:cs="Roboto"/>
            <w:color w:val="000000"/>
            <w:sz w:val="20"/>
            <w:szCs w:val="20"/>
          </w:rPr>
          <w:alias w:val="Citation"/>
          <w:tag w:val="{&quot;referencesIds&quot;:[&quot;doc:675323a7c006340d5bb432e7&quot;],&quot;referencesOptions&quot;:{&quot;doc:675323a7c006340d5bb432e7&quot;:{&quot;author&quot;:true,&quot;year&quot;:true,&quot;formatAuthorYear&quot;:false,&quot;pageReplace&quot;:&quot;&quot;,&quot;prefix&quot;:&quot;&quot;,&quot;suffix&quot;:&quot;&quot;}},&quot;hasBrokenReferences&quot;:false,&quot;hasManualEdits&quot;:false,&quot;isEmpty&quot;:false,&quot;citationType&quot;:&quot;inline&quot;,&quot;id&quot;:605158549,&quot;citationText&quot;:&quot;&lt;span style=\&quot;font-family:Times New Roman;font-size:16px;color:#000000\&quot;&gt;(Rojas Coloma et al., 2023)&lt;/span&gt;&quot;}"/>
          <w:id w:val="605158549"/>
          <w:placeholder>
            <w:docPart w:val="EB3B9346D3D4C6428B965360E9ACA50C"/>
          </w:placeholder>
        </w:sdtPr>
        <w:sdtContent>
          <w:r w:rsidRPr="00465869">
            <w:rPr>
              <w:rFonts w:ascii="Roboto" w:eastAsia="Roboto" w:hAnsi="Roboto" w:cs="Roboto"/>
              <w:color w:val="000000"/>
              <w:sz w:val="20"/>
              <w:szCs w:val="20"/>
            </w:rPr>
            <w:t>Rojas et al., 2023)</w:t>
          </w:r>
        </w:sdtContent>
      </w:sdt>
      <w:r w:rsidRPr="00465869">
        <w:rPr>
          <w:rFonts w:ascii="Roboto" w:eastAsia="Roboto" w:hAnsi="Roboto" w:cs="Roboto"/>
          <w:color w:val="000000"/>
          <w:sz w:val="20"/>
          <w:szCs w:val="20"/>
        </w:rPr>
        <w:t xml:space="preserve">, porque además de la realización de tareas áulicas propias durante el proceso de enseñanza-aprendizaje, se potencia el uso social amplio de la lengua en adquisición. Es por este argumento que también se le denomina perspectiva co-accional, dado que se expresa la intencionalidad didáctica en la dimensión colectiva de cada una de las acciones de los aprendices y en la finalidad sociocultural del uso del lenguaje </w:t>
      </w:r>
      <w:sdt>
        <w:sdtPr>
          <w:rPr>
            <w:rFonts w:ascii="Roboto" w:eastAsia="Roboto" w:hAnsi="Roboto" w:cs="Roboto"/>
            <w:color w:val="000000"/>
            <w:sz w:val="20"/>
            <w:szCs w:val="20"/>
          </w:rPr>
          <w:alias w:val="Citation"/>
          <w:tag w:val="{&quot;referencesIds&quot;:[&quot;doc:67532a94c502941b286ad35a&quot;],&quot;referencesOptions&quot;:{&quot;doc:67532a94c502941b286ad35a&quot;:{&quot;author&quot;:true,&quot;year&quot;:true,&quot;formatAuthorYear&quot;:false,&quot;pageReplace&quot;:&quot;&quot;,&quot;prefix&quot;:&quot;&quot;,&quot;suffix&quot;:&quot;&quot;}},&quot;hasBrokenReferences&quot;:false,&quot;hasManualEdits&quot;:false,&quot;isEmpty&quot;:false,&quot;citationType&quot;:&quot;inline&quot;,&quot;id&quot;:1499467937,&quot;citationText&quot;:&quot;&lt;span style=\&quot;font-family:Times New Roman;font-size:16px;color:#000000\&quot;&gt;(Puren, 2004)&lt;/span&gt;&quot;}"/>
          <w:id w:val="1499467937"/>
          <w:placeholder>
            <w:docPart w:val="2BA0CA3AD67DF441A1A140F289C91447"/>
          </w:placeholder>
        </w:sdtPr>
        <w:sdtContent>
          <w:r w:rsidRPr="00465869">
            <w:rPr>
              <w:rFonts w:ascii="Roboto" w:eastAsia="Roboto" w:hAnsi="Roboto" w:cs="Roboto"/>
              <w:color w:val="000000"/>
              <w:sz w:val="20"/>
              <w:szCs w:val="20"/>
            </w:rPr>
            <w:t>(Puren, 2004)</w:t>
          </w:r>
        </w:sdtContent>
      </w:sdt>
      <w:r w:rsidRPr="00465869">
        <w:rPr>
          <w:rFonts w:ascii="Roboto" w:eastAsia="Roboto" w:hAnsi="Roboto" w:cs="Roboto"/>
          <w:color w:val="000000"/>
          <w:sz w:val="20"/>
          <w:szCs w:val="20"/>
        </w:rPr>
        <w:t>.</w:t>
      </w:r>
    </w:p>
    <w:p w14:paraId="1B5B0C56" w14:textId="77777777" w:rsidR="00107E19" w:rsidRDefault="00107E19">
      <w:pPr>
        <w:pBdr>
          <w:top w:val="nil"/>
          <w:left w:val="nil"/>
          <w:bottom w:val="nil"/>
          <w:right w:val="nil"/>
          <w:between w:val="nil"/>
        </w:pBdr>
        <w:jc w:val="both"/>
        <w:rPr>
          <w:rFonts w:ascii="Roboto" w:eastAsia="Roboto" w:hAnsi="Roboto" w:cs="Roboto"/>
          <w:b/>
          <w:color w:val="000000"/>
          <w:sz w:val="20"/>
          <w:szCs w:val="20"/>
        </w:rPr>
      </w:pPr>
    </w:p>
    <w:p w14:paraId="0EF5011C" w14:textId="3ABF5C0A" w:rsidR="00107E19" w:rsidRDefault="006565F3">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METODOLOGÍA</w:t>
      </w:r>
    </w:p>
    <w:p w14:paraId="0CECCAA2" w14:textId="511F774D" w:rsidR="00C35B7C" w:rsidRPr="00465869" w:rsidRDefault="00C35B7C" w:rsidP="00C35B7C">
      <w:pPr>
        <w:jc w:val="both"/>
        <w:rPr>
          <w:rFonts w:ascii="Roboto" w:eastAsia="Roboto" w:hAnsi="Roboto" w:cs="Roboto"/>
          <w:color w:val="000000"/>
          <w:sz w:val="20"/>
          <w:szCs w:val="20"/>
        </w:rPr>
      </w:pPr>
      <w:r w:rsidRPr="00465869">
        <w:rPr>
          <w:rFonts w:ascii="Roboto" w:eastAsia="Roboto" w:hAnsi="Roboto" w:cs="Roboto"/>
          <w:color w:val="000000"/>
          <w:sz w:val="20"/>
          <w:szCs w:val="20"/>
        </w:rPr>
        <w:t>Desde el paradigma cuantitativo y con un diseño preexperimental (preprueba/posprueba con un solo grupo), se realizó un estudio de caso transeccional descriptivo, midiendo la autoeficacia académica en su situación vigente y recolectando los datos antes y despúes de trabajar con un sistema de actividades y tareas bajo la perspectiva accional.</w:t>
      </w:r>
    </w:p>
    <w:p w14:paraId="732654AF" w14:textId="77777777" w:rsidR="00C35B7C" w:rsidRPr="00465869" w:rsidRDefault="00C35B7C" w:rsidP="00C35B7C">
      <w:pPr>
        <w:jc w:val="both"/>
        <w:rPr>
          <w:rFonts w:ascii="Roboto" w:eastAsia="Roboto" w:hAnsi="Roboto" w:cs="Roboto"/>
          <w:color w:val="000000"/>
          <w:sz w:val="20"/>
          <w:szCs w:val="20"/>
        </w:rPr>
      </w:pPr>
      <w:r w:rsidRPr="00465869">
        <w:rPr>
          <w:rFonts w:ascii="Roboto" w:eastAsia="Roboto" w:hAnsi="Roboto" w:cs="Roboto"/>
          <w:color w:val="000000"/>
          <w:sz w:val="20"/>
          <w:szCs w:val="20"/>
        </w:rPr>
        <w:t>Se eligió un muestreo no probabilístico intencionado y en la investigación participaron 121 estudiantes del nivel medio superior, 82 femenino (67.8%) y 39 masculino (32.2%), constituyendo el total de personas que se encontraban cursando la materia de Francés I, en uno de planteles del Colegio de Ciencias y Humanidades emplazado en la Ciudad de México. El promedio de edad del alumnado encuestado es de 15.10 años (DE = 0.54).</w:t>
      </w:r>
    </w:p>
    <w:p w14:paraId="208BA162" w14:textId="36157AF1" w:rsidR="00C35B7C" w:rsidRPr="00465869" w:rsidRDefault="00C35B7C" w:rsidP="00C35B7C">
      <w:pPr>
        <w:jc w:val="both"/>
        <w:rPr>
          <w:rFonts w:ascii="Roboto" w:eastAsia="Roboto" w:hAnsi="Roboto" w:cs="Roboto"/>
          <w:color w:val="000000"/>
          <w:sz w:val="20"/>
          <w:szCs w:val="20"/>
        </w:rPr>
      </w:pPr>
      <w:r w:rsidRPr="00465869">
        <w:rPr>
          <w:rFonts w:ascii="Roboto" w:eastAsia="Roboto" w:hAnsi="Roboto" w:cs="Roboto"/>
          <w:color w:val="000000"/>
          <w:sz w:val="20"/>
          <w:szCs w:val="20"/>
        </w:rPr>
        <w:t>Como instrumento de recolección de información se utilizó un inventario de autoeficacia académica para estudiantes de bachillerato, conformado por 18 ítems con cinco opciones de respuesta, que permite determinar el nivel de creencias del estudiantado sobre su capacidad de tener éxito al realizar actividades escolares en la materia. El inventario agrupa todas las preguntas en tres factores que indican: amplitud de dominios que el estudiantado cree que es capaz de realizar bien; tareas que el estudiantado considera que es capaz de ejecutar y obtener resultados por encima del promedio de su grupo o que va superando respecto a sí mismo en el plano personal; nivel de convicción del alumnado sobre la capacidad de desempeñarse en dominios específicos.</w:t>
      </w:r>
    </w:p>
    <w:p w14:paraId="27BADDFB" w14:textId="77777777" w:rsidR="00C35B7C" w:rsidRPr="00465869" w:rsidRDefault="00C35B7C" w:rsidP="00C35B7C">
      <w:pPr>
        <w:jc w:val="both"/>
        <w:rPr>
          <w:rFonts w:ascii="Roboto" w:eastAsia="Roboto" w:hAnsi="Roboto" w:cs="Roboto"/>
          <w:color w:val="000000"/>
          <w:sz w:val="20"/>
          <w:szCs w:val="20"/>
        </w:rPr>
      </w:pPr>
      <w:r w:rsidRPr="00465869">
        <w:rPr>
          <w:rFonts w:ascii="Roboto" w:eastAsia="Roboto" w:hAnsi="Roboto" w:cs="Roboto"/>
          <w:color w:val="000000"/>
          <w:sz w:val="20"/>
          <w:szCs w:val="20"/>
        </w:rPr>
        <w:t>El propósito de la investigación fue presentado a la Jefatura del Departamento de Francés del Colegio, quien dio su autorización para la aplicación del instrumento en forma electrónica, con previa aplicación de un consentimiento firmado por cada participante.</w:t>
      </w:r>
    </w:p>
    <w:p w14:paraId="46E2B48F" w14:textId="77777777" w:rsidR="00C35B7C" w:rsidRPr="00465869" w:rsidRDefault="00C35B7C" w:rsidP="00C35B7C">
      <w:pPr>
        <w:jc w:val="both"/>
        <w:rPr>
          <w:rFonts w:ascii="Roboto" w:eastAsia="Roboto" w:hAnsi="Roboto" w:cs="Roboto"/>
          <w:color w:val="000000"/>
          <w:sz w:val="20"/>
          <w:szCs w:val="20"/>
        </w:rPr>
      </w:pPr>
      <w:r w:rsidRPr="00465869">
        <w:rPr>
          <w:rFonts w:ascii="Roboto" w:eastAsia="Roboto" w:hAnsi="Roboto" w:cs="Roboto"/>
          <w:color w:val="000000"/>
          <w:sz w:val="20"/>
          <w:szCs w:val="20"/>
        </w:rPr>
        <w:t xml:space="preserve">Mediante la herramienta </w:t>
      </w:r>
      <w:r w:rsidRPr="006A738B">
        <w:rPr>
          <w:rFonts w:ascii="Roboto" w:eastAsia="Roboto" w:hAnsi="Roboto" w:cs="Roboto"/>
          <w:i/>
          <w:iCs/>
          <w:color w:val="000000"/>
          <w:sz w:val="20"/>
          <w:szCs w:val="20"/>
        </w:rPr>
        <w:t>Microsoft Forms</w:t>
      </w:r>
      <w:r w:rsidRPr="00465869">
        <w:rPr>
          <w:rFonts w:ascii="Roboto" w:eastAsia="Roboto" w:hAnsi="Roboto" w:cs="Roboto"/>
          <w:color w:val="000000"/>
          <w:sz w:val="20"/>
          <w:szCs w:val="20"/>
        </w:rPr>
        <w:t xml:space="preserve"> se aplicó el inventario en tres momentos del ciclo escolar 2024-2025: un pilotaje para el análisis de fiabilidad del instrumento, el pretest y el postest. Entre el pretest y el postest transcurrió un periodo aproximado de 11 semanas lectivas, que fue el tiempo planificado en la asignatura Francés I para la implementación del sistema de actividades y tareas bajo la perspectiva accional. </w:t>
      </w:r>
    </w:p>
    <w:p w14:paraId="0235ABA4" w14:textId="1A32D02F" w:rsidR="00C35B7C" w:rsidRPr="00465869" w:rsidRDefault="00C35B7C" w:rsidP="00C35B7C">
      <w:pPr>
        <w:jc w:val="both"/>
        <w:rPr>
          <w:rFonts w:ascii="Roboto" w:eastAsia="Roboto" w:hAnsi="Roboto" w:cs="Roboto"/>
          <w:color w:val="000000"/>
          <w:sz w:val="20"/>
          <w:szCs w:val="20"/>
        </w:rPr>
      </w:pPr>
      <w:r w:rsidRPr="00465869">
        <w:rPr>
          <w:rFonts w:ascii="Roboto" w:eastAsia="Roboto" w:hAnsi="Roboto" w:cs="Roboto"/>
          <w:color w:val="000000"/>
          <w:sz w:val="20"/>
          <w:szCs w:val="20"/>
        </w:rPr>
        <w:t xml:space="preserve">Con el Paquete Estadístico para Ciencias Sociales (SPSS v.29) se realizaron los análisis descriptivos e inferenciales; el software jamovi (v. 2.3) posibilitó los análisis del tamaño del efecto para las diferencias estadísticamente significativas halladas, considerando los parámetros de interpretación para las correlaciones biseriadas de rangos. </w:t>
      </w:r>
    </w:p>
    <w:p w14:paraId="2579E021" w14:textId="77777777" w:rsidR="00107E19" w:rsidRDefault="00107E19">
      <w:pPr>
        <w:pBdr>
          <w:top w:val="nil"/>
          <w:left w:val="nil"/>
          <w:bottom w:val="nil"/>
          <w:right w:val="nil"/>
          <w:between w:val="nil"/>
        </w:pBdr>
        <w:jc w:val="both"/>
        <w:rPr>
          <w:rFonts w:ascii="Roboto" w:eastAsia="Roboto" w:hAnsi="Roboto" w:cs="Roboto"/>
          <w:color w:val="000000"/>
          <w:sz w:val="20"/>
          <w:szCs w:val="20"/>
        </w:rPr>
      </w:pPr>
    </w:p>
    <w:p w14:paraId="2D46050D" w14:textId="77777777" w:rsidR="00C35B7C" w:rsidRDefault="00C35B7C" w:rsidP="00C35B7C">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RESULTADOS</w:t>
      </w:r>
    </w:p>
    <w:p w14:paraId="1309EABC" w14:textId="2FCF5E6B" w:rsidR="00C35B7C" w:rsidRPr="006A738B" w:rsidRDefault="00C35B7C" w:rsidP="006A738B">
      <w:pPr>
        <w:pBdr>
          <w:top w:val="nil"/>
          <w:left w:val="nil"/>
          <w:bottom w:val="nil"/>
          <w:right w:val="nil"/>
          <w:between w:val="nil"/>
        </w:pBdr>
        <w:jc w:val="both"/>
        <w:rPr>
          <w:rFonts w:ascii="Roboto" w:eastAsia="Roboto" w:hAnsi="Roboto" w:cs="Roboto"/>
          <w:b/>
          <w:color w:val="000000"/>
          <w:sz w:val="20"/>
          <w:szCs w:val="20"/>
        </w:rPr>
      </w:pPr>
      <w:r w:rsidRPr="00C35B7C">
        <w:rPr>
          <w:rFonts w:ascii="Roboto" w:eastAsia="Roboto" w:hAnsi="Roboto" w:cs="Roboto"/>
          <w:b/>
          <w:sz w:val="20"/>
          <w:szCs w:val="20"/>
        </w:rPr>
        <w:lastRenderedPageBreak/>
        <w:t>Tabla 1</w:t>
      </w:r>
      <w:r w:rsidR="006A738B">
        <w:rPr>
          <w:rFonts w:ascii="Roboto" w:eastAsia="Roboto" w:hAnsi="Roboto" w:cs="Roboto"/>
          <w:b/>
          <w:sz w:val="20"/>
          <w:szCs w:val="20"/>
        </w:rPr>
        <w:t>.</w:t>
      </w:r>
      <w:r w:rsidRPr="00C35B7C">
        <w:rPr>
          <w:rFonts w:ascii="Roboto" w:eastAsia="Roboto" w:hAnsi="Roboto" w:cs="Roboto"/>
          <w:b/>
          <w:sz w:val="20"/>
          <w:szCs w:val="20"/>
        </w:rPr>
        <w:t xml:space="preserve"> </w:t>
      </w:r>
      <w:r w:rsidRPr="006A738B">
        <w:rPr>
          <w:rFonts w:ascii="Roboto" w:eastAsia="Roboto" w:hAnsi="Roboto" w:cs="Roboto"/>
          <w:color w:val="000000"/>
          <w:sz w:val="20"/>
          <w:szCs w:val="20"/>
        </w:rPr>
        <w:t>Comparación de muestras relacionadas, en el pretest y el postest con puntajes de autoeficacia en cada ítem, empleando la prueba de Wilcoxon</w:t>
      </w:r>
    </w:p>
    <w:tbl>
      <w:tblPr>
        <w:tblStyle w:val="Tablaconcuadrcula"/>
        <w:tblW w:w="48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0"/>
        <w:gridCol w:w="992"/>
        <w:gridCol w:w="850"/>
        <w:gridCol w:w="709"/>
        <w:gridCol w:w="709"/>
      </w:tblGrid>
      <w:tr w:rsidR="006A738B" w:rsidRPr="00465869" w14:paraId="04421510" w14:textId="77777777" w:rsidTr="006A738B">
        <w:tc>
          <w:tcPr>
            <w:tcW w:w="1560" w:type="dxa"/>
            <w:tcBorders>
              <w:top w:val="single" w:sz="4" w:space="0" w:color="auto"/>
              <w:bottom w:val="single" w:sz="4" w:space="0" w:color="auto"/>
            </w:tcBorders>
          </w:tcPr>
          <w:p w14:paraId="1B93A0B3"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Factor del instrumento</w:t>
            </w:r>
          </w:p>
        </w:tc>
        <w:tc>
          <w:tcPr>
            <w:tcW w:w="992" w:type="dxa"/>
            <w:tcBorders>
              <w:top w:val="single" w:sz="4" w:space="0" w:color="auto"/>
              <w:bottom w:val="single" w:sz="4" w:space="0" w:color="auto"/>
            </w:tcBorders>
          </w:tcPr>
          <w:p w14:paraId="0988AC34"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 xml:space="preserve">Ítems </w:t>
            </w:r>
          </w:p>
        </w:tc>
        <w:tc>
          <w:tcPr>
            <w:tcW w:w="850" w:type="dxa"/>
            <w:tcBorders>
              <w:top w:val="single" w:sz="4" w:space="0" w:color="auto"/>
              <w:bottom w:val="single" w:sz="4" w:space="0" w:color="auto"/>
            </w:tcBorders>
          </w:tcPr>
          <w:p w14:paraId="5B42EAB4"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Z</w:t>
            </w:r>
          </w:p>
        </w:tc>
        <w:tc>
          <w:tcPr>
            <w:tcW w:w="709" w:type="dxa"/>
            <w:tcBorders>
              <w:top w:val="single" w:sz="4" w:space="0" w:color="auto"/>
              <w:bottom w:val="single" w:sz="4" w:space="0" w:color="auto"/>
            </w:tcBorders>
          </w:tcPr>
          <w:p w14:paraId="3132F4DA"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p</w:t>
            </w:r>
          </w:p>
        </w:tc>
        <w:tc>
          <w:tcPr>
            <w:tcW w:w="709" w:type="dxa"/>
            <w:tcBorders>
              <w:top w:val="single" w:sz="4" w:space="0" w:color="auto"/>
              <w:bottom w:val="single" w:sz="4" w:space="0" w:color="auto"/>
            </w:tcBorders>
          </w:tcPr>
          <w:p w14:paraId="0AE81389"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rbis</w:t>
            </w:r>
          </w:p>
        </w:tc>
      </w:tr>
      <w:tr w:rsidR="006A738B" w:rsidRPr="00465869" w14:paraId="5BFF0C66" w14:textId="77777777" w:rsidTr="006A738B">
        <w:tc>
          <w:tcPr>
            <w:tcW w:w="1560" w:type="dxa"/>
            <w:vMerge w:val="restart"/>
            <w:tcBorders>
              <w:top w:val="single" w:sz="4" w:space="0" w:color="auto"/>
            </w:tcBorders>
          </w:tcPr>
          <w:p w14:paraId="762EB351"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p>
          <w:p w14:paraId="78A22694"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p>
          <w:p w14:paraId="7FAEFB37"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p>
          <w:p w14:paraId="76E86C21"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Generalización</w:t>
            </w:r>
          </w:p>
        </w:tc>
        <w:tc>
          <w:tcPr>
            <w:tcW w:w="992" w:type="dxa"/>
            <w:tcBorders>
              <w:top w:val="single" w:sz="4" w:space="0" w:color="auto"/>
            </w:tcBorders>
          </w:tcPr>
          <w:p w14:paraId="4D8937A2"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Ítem 1</w:t>
            </w:r>
          </w:p>
        </w:tc>
        <w:tc>
          <w:tcPr>
            <w:tcW w:w="850" w:type="dxa"/>
            <w:tcBorders>
              <w:top w:val="single" w:sz="4" w:space="0" w:color="auto"/>
            </w:tcBorders>
          </w:tcPr>
          <w:p w14:paraId="24280F41"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2.192</w:t>
            </w:r>
          </w:p>
        </w:tc>
        <w:tc>
          <w:tcPr>
            <w:tcW w:w="709" w:type="dxa"/>
            <w:tcBorders>
              <w:top w:val="single" w:sz="4" w:space="0" w:color="auto"/>
            </w:tcBorders>
          </w:tcPr>
          <w:p w14:paraId="2FDDFC71"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.028</w:t>
            </w:r>
          </w:p>
        </w:tc>
        <w:tc>
          <w:tcPr>
            <w:tcW w:w="709" w:type="dxa"/>
            <w:tcBorders>
              <w:top w:val="single" w:sz="4" w:space="0" w:color="auto"/>
            </w:tcBorders>
          </w:tcPr>
          <w:p w14:paraId="722A4DFE"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.295</w:t>
            </w:r>
          </w:p>
        </w:tc>
      </w:tr>
      <w:tr w:rsidR="006A738B" w:rsidRPr="00465869" w14:paraId="43F95B2F" w14:textId="77777777" w:rsidTr="006A738B">
        <w:tc>
          <w:tcPr>
            <w:tcW w:w="1560" w:type="dxa"/>
            <w:vMerge/>
          </w:tcPr>
          <w:p w14:paraId="628B79F2"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p>
        </w:tc>
        <w:tc>
          <w:tcPr>
            <w:tcW w:w="992" w:type="dxa"/>
          </w:tcPr>
          <w:p w14:paraId="1BD23167"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Ítem 2</w:t>
            </w:r>
          </w:p>
        </w:tc>
        <w:tc>
          <w:tcPr>
            <w:tcW w:w="850" w:type="dxa"/>
          </w:tcPr>
          <w:p w14:paraId="69BDF2E3"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2.574</w:t>
            </w:r>
          </w:p>
        </w:tc>
        <w:tc>
          <w:tcPr>
            <w:tcW w:w="709" w:type="dxa"/>
          </w:tcPr>
          <w:p w14:paraId="371BF0B1"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.010</w:t>
            </w:r>
          </w:p>
        </w:tc>
        <w:tc>
          <w:tcPr>
            <w:tcW w:w="709" w:type="dxa"/>
          </w:tcPr>
          <w:p w14:paraId="45ED844D"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.369</w:t>
            </w:r>
          </w:p>
        </w:tc>
      </w:tr>
      <w:tr w:rsidR="006A738B" w:rsidRPr="00465869" w14:paraId="683B6295" w14:textId="77777777" w:rsidTr="006A738B">
        <w:tc>
          <w:tcPr>
            <w:tcW w:w="1560" w:type="dxa"/>
            <w:vMerge/>
          </w:tcPr>
          <w:p w14:paraId="502BF26A"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p>
        </w:tc>
        <w:tc>
          <w:tcPr>
            <w:tcW w:w="992" w:type="dxa"/>
          </w:tcPr>
          <w:p w14:paraId="40FFAC44"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Ítem 3</w:t>
            </w:r>
          </w:p>
        </w:tc>
        <w:tc>
          <w:tcPr>
            <w:tcW w:w="850" w:type="dxa"/>
          </w:tcPr>
          <w:p w14:paraId="2B808BCA"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.432</w:t>
            </w:r>
          </w:p>
        </w:tc>
        <w:tc>
          <w:tcPr>
            <w:tcW w:w="709" w:type="dxa"/>
          </w:tcPr>
          <w:p w14:paraId="7D7F8B1D"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.666</w:t>
            </w:r>
          </w:p>
        </w:tc>
        <w:tc>
          <w:tcPr>
            <w:tcW w:w="709" w:type="dxa"/>
          </w:tcPr>
          <w:p w14:paraId="2108C35C"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.058</w:t>
            </w:r>
          </w:p>
        </w:tc>
      </w:tr>
      <w:tr w:rsidR="006A738B" w:rsidRPr="00465869" w14:paraId="282A37FB" w14:textId="77777777" w:rsidTr="006A738B">
        <w:tc>
          <w:tcPr>
            <w:tcW w:w="1560" w:type="dxa"/>
            <w:vMerge/>
          </w:tcPr>
          <w:p w14:paraId="4941D6E1"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p>
        </w:tc>
        <w:tc>
          <w:tcPr>
            <w:tcW w:w="992" w:type="dxa"/>
          </w:tcPr>
          <w:p w14:paraId="7DDD4D07"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Ítem 4</w:t>
            </w:r>
          </w:p>
        </w:tc>
        <w:tc>
          <w:tcPr>
            <w:tcW w:w="850" w:type="dxa"/>
          </w:tcPr>
          <w:p w14:paraId="2DE0F6D6"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4.564</w:t>
            </w:r>
          </w:p>
        </w:tc>
        <w:tc>
          <w:tcPr>
            <w:tcW w:w="709" w:type="dxa"/>
          </w:tcPr>
          <w:p w14:paraId="2A6A3BCC"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.000</w:t>
            </w:r>
          </w:p>
        </w:tc>
        <w:tc>
          <w:tcPr>
            <w:tcW w:w="709" w:type="dxa"/>
          </w:tcPr>
          <w:p w14:paraId="4884C299"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.633</w:t>
            </w:r>
          </w:p>
        </w:tc>
      </w:tr>
      <w:tr w:rsidR="006A738B" w:rsidRPr="00465869" w14:paraId="694CE888" w14:textId="77777777" w:rsidTr="006A738B">
        <w:tc>
          <w:tcPr>
            <w:tcW w:w="1560" w:type="dxa"/>
            <w:vMerge/>
          </w:tcPr>
          <w:p w14:paraId="76B26E33"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p>
        </w:tc>
        <w:tc>
          <w:tcPr>
            <w:tcW w:w="992" w:type="dxa"/>
          </w:tcPr>
          <w:p w14:paraId="363A8873"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Ítem 5</w:t>
            </w:r>
          </w:p>
        </w:tc>
        <w:tc>
          <w:tcPr>
            <w:tcW w:w="850" w:type="dxa"/>
          </w:tcPr>
          <w:p w14:paraId="7E91693B"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2.032</w:t>
            </w:r>
          </w:p>
        </w:tc>
        <w:tc>
          <w:tcPr>
            <w:tcW w:w="709" w:type="dxa"/>
          </w:tcPr>
          <w:p w14:paraId="2B7F0B40"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.042</w:t>
            </w:r>
          </w:p>
        </w:tc>
        <w:tc>
          <w:tcPr>
            <w:tcW w:w="709" w:type="dxa"/>
          </w:tcPr>
          <w:p w14:paraId="43DF51AB"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.260</w:t>
            </w:r>
          </w:p>
        </w:tc>
      </w:tr>
      <w:tr w:rsidR="006A738B" w:rsidRPr="00465869" w14:paraId="7CC5A366" w14:textId="77777777" w:rsidTr="006A738B">
        <w:tc>
          <w:tcPr>
            <w:tcW w:w="1560" w:type="dxa"/>
            <w:vMerge/>
            <w:tcBorders>
              <w:bottom w:val="single" w:sz="4" w:space="0" w:color="auto"/>
            </w:tcBorders>
          </w:tcPr>
          <w:p w14:paraId="46819A53"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p>
        </w:tc>
        <w:tc>
          <w:tcPr>
            <w:tcW w:w="992" w:type="dxa"/>
            <w:tcBorders>
              <w:bottom w:val="single" w:sz="4" w:space="0" w:color="auto"/>
            </w:tcBorders>
          </w:tcPr>
          <w:p w14:paraId="750A31B9"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Ítem 6</w:t>
            </w:r>
          </w:p>
        </w:tc>
        <w:tc>
          <w:tcPr>
            <w:tcW w:w="850" w:type="dxa"/>
            <w:tcBorders>
              <w:bottom w:val="single" w:sz="4" w:space="0" w:color="auto"/>
            </w:tcBorders>
          </w:tcPr>
          <w:p w14:paraId="232282AA"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2.870</w:t>
            </w:r>
          </w:p>
        </w:tc>
        <w:tc>
          <w:tcPr>
            <w:tcW w:w="709" w:type="dxa"/>
            <w:tcBorders>
              <w:bottom w:val="single" w:sz="4" w:space="0" w:color="auto"/>
            </w:tcBorders>
          </w:tcPr>
          <w:p w14:paraId="7DFB825B"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.004</w:t>
            </w:r>
          </w:p>
        </w:tc>
        <w:tc>
          <w:tcPr>
            <w:tcW w:w="709" w:type="dxa"/>
            <w:tcBorders>
              <w:bottom w:val="single" w:sz="4" w:space="0" w:color="auto"/>
            </w:tcBorders>
          </w:tcPr>
          <w:p w14:paraId="34C4CBA7"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.356</w:t>
            </w:r>
          </w:p>
        </w:tc>
      </w:tr>
      <w:tr w:rsidR="006A738B" w:rsidRPr="00465869" w14:paraId="280DEFE0" w14:textId="77777777" w:rsidTr="006A738B">
        <w:tc>
          <w:tcPr>
            <w:tcW w:w="1560" w:type="dxa"/>
            <w:vMerge w:val="restart"/>
            <w:tcBorders>
              <w:top w:val="single" w:sz="4" w:space="0" w:color="auto"/>
            </w:tcBorders>
          </w:tcPr>
          <w:p w14:paraId="451A892C"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p>
          <w:p w14:paraId="260D4643"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p>
          <w:p w14:paraId="664D33AE"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p>
          <w:p w14:paraId="3AC49505"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Nivel de dificultad</w:t>
            </w:r>
          </w:p>
        </w:tc>
        <w:tc>
          <w:tcPr>
            <w:tcW w:w="992" w:type="dxa"/>
            <w:tcBorders>
              <w:top w:val="single" w:sz="4" w:space="0" w:color="auto"/>
            </w:tcBorders>
          </w:tcPr>
          <w:p w14:paraId="2295AF7E"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Ítem 7</w:t>
            </w:r>
          </w:p>
        </w:tc>
        <w:tc>
          <w:tcPr>
            <w:tcW w:w="850" w:type="dxa"/>
            <w:tcBorders>
              <w:top w:val="single" w:sz="4" w:space="0" w:color="auto"/>
            </w:tcBorders>
          </w:tcPr>
          <w:p w14:paraId="637A43F9"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1.711</w:t>
            </w:r>
          </w:p>
        </w:tc>
        <w:tc>
          <w:tcPr>
            <w:tcW w:w="709" w:type="dxa"/>
            <w:tcBorders>
              <w:top w:val="single" w:sz="4" w:space="0" w:color="auto"/>
            </w:tcBorders>
          </w:tcPr>
          <w:p w14:paraId="648E8112"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.087</w:t>
            </w:r>
          </w:p>
        </w:tc>
        <w:tc>
          <w:tcPr>
            <w:tcW w:w="709" w:type="dxa"/>
            <w:tcBorders>
              <w:top w:val="single" w:sz="4" w:space="0" w:color="auto"/>
            </w:tcBorders>
          </w:tcPr>
          <w:p w14:paraId="49FA72AB"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.214</w:t>
            </w:r>
          </w:p>
        </w:tc>
      </w:tr>
      <w:tr w:rsidR="006A738B" w:rsidRPr="00465869" w14:paraId="471783D4" w14:textId="77777777" w:rsidTr="006A738B">
        <w:tc>
          <w:tcPr>
            <w:tcW w:w="1560" w:type="dxa"/>
            <w:vMerge/>
          </w:tcPr>
          <w:p w14:paraId="39B8317A"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p>
        </w:tc>
        <w:tc>
          <w:tcPr>
            <w:tcW w:w="992" w:type="dxa"/>
          </w:tcPr>
          <w:p w14:paraId="6A4EEBA3"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Ítem 8</w:t>
            </w:r>
          </w:p>
        </w:tc>
        <w:tc>
          <w:tcPr>
            <w:tcW w:w="850" w:type="dxa"/>
          </w:tcPr>
          <w:p w14:paraId="70B2AFA4"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1.537</w:t>
            </w:r>
          </w:p>
        </w:tc>
        <w:tc>
          <w:tcPr>
            <w:tcW w:w="709" w:type="dxa"/>
          </w:tcPr>
          <w:p w14:paraId="12092835"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.124</w:t>
            </w:r>
          </w:p>
        </w:tc>
        <w:tc>
          <w:tcPr>
            <w:tcW w:w="709" w:type="dxa"/>
          </w:tcPr>
          <w:p w14:paraId="045835E0"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.183</w:t>
            </w:r>
          </w:p>
        </w:tc>
      </w:tr>
      <w:tr w:rsidR="006A738B" w:rsidRPr="00465869" w14:paraId="00F1F65E" w14:textId="77777777" w:rsidTr="006A738B">
        <w:tc>
          <w:tcPr>
            <w:tcW w:w="1560" w:type="dxa"/>
            <w:vMerge/>
          </w:tcPr>
          <w:p w14:paraId="6C29315B"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p>
        </w:tc>
        <w:tc>
          <w:tcPr>
            <w:tcW w:w="992" w:type="dxa"/>
          </w:tcPr>
          <w:p w14:paraId="03576BFE"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Ítem 9</w:t>
            </w:r>
          </w:p>
        </w:tc>
        <w:tc>
          <w:tcPr>
            <w:tcW w:w="850" w:type="dxa"/>
          </w:tcPr>
          <w:p w14:paraId="4BD6B362"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2.794</w:t>
            </w:r>
          </w:p>
        </w:tc>
        <w:tc>
          <w:tcPr>
            <w:tcW w:w="709" w:type="dxa"/>
          </w:tcPr>
          <w:p w14:paraId="06AC94B7"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.005</w:t>
            </w:r>
          </w:p>
        </w:tc>
        <w:tc>
          <w:tcPr>
            <w:tcW w:w="709" w:type="dxa"/>
          </w:tcPr>
          <w:p w14:paraId="25D1E95A"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.336</w:t>
            </w:r>
          </w:p>
        </w:tc>
      </w:tr>
      <w:tr w:rsidR="006A738B" w:rsidRPr="00465869" w14:paraId="06050CFE" w14:textId="77777777" w:rsidTr="006A738B">
        <w:tc>
          <w:tcPr>
            <w:tcW w:w="1560" w:type="dxa"/>
            <w:vMerge/>
          </w:tcPr>
          <w:p w14:paraId="5D85315D"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p>
        </w:tc>
        <w:tc>
          <w:tcPr>
            <w:tcW w:w="992" w:type="dxa"/>
          </w:tcPr>
          <w:p w14:paraId="59C3A5FC"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Ítem 10</w:t>
            </w:r>
          </w:p>
        </w:tc>
        <w:tc>
          <w:tcPr>
            <w:tcW w:w="850" w:type="dxa"/>
          </w:tcPr>
          <w:p w14:paraId="41C39AC0"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1.449</w:t>
            </w:r>
          </w:p>
        </w:tc>
        <w:tc>
          <w:tcPr>
            <w:tcW w:w="709" w:type="dxa"/>
          </w:tcPr>
          <w:p w14:paraId="0814884D"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.147</w:t>
            </w:r>
          </w:p>
        </w:tc>
        <w:tc>
          <w:tcPr>
            <w:tcW w:w="709" w:type="dxa"/>
          </w:tcPr>
          <w:p w14:paraId="16BDAF91"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.178</w:t>
            </w:r>
          </w:p>
        </w:tc>
      </w:tr>
      <w:tr w:rsidR="006A738B" w:rsidRPr="00465869" w14:paraId="77516D75" w14:textId="77777777" w:rsidTr="006A738B">
        <w:tc>
          <w:tcPr>
            <w:tcW w:w="1560" w:type="dxa"/>
            <w:vMerge/>
          </w:tcPr>
          <w:p w14:paraId="0AD03269"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p>
        </w:tc>
        <w:tc>
          <w:tcPr>
            <w:tcW w:w="992" w:type="dxa"/>
          </w:tcPr>
          <w:p w14:paraId="702A9A38"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Ítem 11</w:t>
            </w:r>
          </w:p>
        </w:tc>
        <w:tc>
          <w:tcPr>
            <w:tcW w:w="850" w:type="dxa"/>
          </w:tcPr>
          <w:p w14:paraId="2D6B3967"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3.382</w:t>
            </w:r>
          </w:p>
        </w:tc>
        <w:tc>
          <w:tcPr>
            <w:tcW w:w="709" w:type="dxa"/>
          </w:tcPr>
          <w:p w14:paraId="0585DCD8"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.001</w:t>
            </w:r>
          </w:p>
        </w:tc>
        <w:tc>
          <w:tcPr>
            <w:tcW w:w="709" w:type="dxa"/>
          </w:tcPr>
          <w:p w14:paraId="7B75F553"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.422</w:t>
            </w:r>
          </w:p>
        </w:tc>
      </w:tr>
      <w:tr w:rsidR="006A738B" w:rsidRPr="00465869" w14:paraId="35F81C60" w14:textId="77777777" w:rsidTr="006A738B">
        <w:tc>
          <w:tcPr>
            <w:tcW w:w="1560" w:type="dxa"/>
            <w:vMerge/>
            <w:tcBorders>
              <w:bottom w:val="single" w:sz="4" w:space="0" w:color="auto"/>
            </w:tcBorders>
          </w:tcPr>
          <w:p w14:paraId="09E10889"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p>
        </w:tc>
        <w:tc>
          <w:tcPr>
            <w:tcW w:w="992" w:type="dxa"/>
            <w:tcBorders>
              <w:bottom w:val="single" w:sz="4" w:space="0" w:color="auto"/>
            </w:tcBorders>
          </w:tcPr>
          <w:p w14:paraId="191119F5"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Ítem 12</w:t>
            </w:r>
          </w:p>
        </w:tc>
        <w:tc>
          <w:tcPr>
            <w:tcW w:w="850" w:type="dxa"/>
            <w:tcBorders>
              <w:bottom w:val="single" w:sz="4" w:space="0" w:color="auto"/>
            </w:tcBorders>
          </w:tcPr>
          <w:p w14:paraId="401D8998"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1.936</w:t>
            </w:r>
          </w:p>
        </w:tc>
        <w:tc>
          <w:tcPr>
            <w:tcW w:w="709" w:type="dxa"/>
            <w:tcBorders>
              <w:bottom w:val="single" w:sz="4" w:space="0" w:color="auto"/>
            </w:tcBorders>
          </w:tcPr>
          <w:p w14:paraId="483471E5"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.053</w:t>
            </w:r>
          </w:p>
        </w:tc>
        <w:tc>
          <w:tcPr>
            <w:tcW w:w="709" w:type="dxa"/>
            <w:tcBorders>
              <w:bottom w:val="single" w:sz="4" w:space="0" w:color="auto"/>
            </w:tcBorders>
          </w:tcPr>
          <w:p w14:paraId="1F024AB1"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.261</w:t>
            </w:r>
          </w:p>
        </w:tc>
      </w:tr>
      <w:tr w:rsidR="006A738B" w:rsidRPr="00465869" w14:paraId="4D6D70B9" w14:textId="77777777" w:rsidTr="006A738B">
        <w:tc>
          <w:tcPr>
            <w:tcW w:w="1560" w:type="dxa"/>
            <w:vMerge w:val="restart"/>
            <w:tcBorders>
              <w:top w:val="single" w:sz="4" w:space="0" w:color="auto"/>
            </w:tcBorders>
          </w:tcPr>
          <w:p w14:paraId="0A6571EF"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p>
          <w:p w14:paraId="70D0963E"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p>
          <w:p w14:paraId="0D20C01D"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p>
          <w:p w14:paraId="3C76C81D"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Fortaleza</w:t>
            </w:r>
          </w:p>
        </w:tc>
        <w:tc>
          <w:tcPr>
            <w:tcW w:w="992" w:type="dxa"/>
            <w:tcBorders>
              <w:top w:val="single" w:sz="4" w:space="0" w:color="auto"/>
            </w:tcBorders>
          </w:tcPr>
          <w:p w14:paraId="33E7E77D"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Ítem 13</w:t>
            </w:r>
          </w:p>
        </w:tc>
        <w:tc>
          <w:tcPr>
            <w:tcW w:w="850" w:type="dxa"/>
            <w:tcBorders>
              <w:top w:val="single" w:sz="4" w:space="0" w:color="auto"/>
            </w:tcBorders>
          </w:tcPr>
          <w:p w14:paraId="62A86FEA"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.445</w:t>
            </w:r>
          </w:p>
        </w:tc>
        <w:tc>
          <w:tcPr>
            <w:tcW w:w="709" w:type="dxa"/>
            <w:tcBorders>
              <w:top w:val="single" w:sz="4" w:space="0" w:color="auto"/>
            </w:tcBorders>
          </w:tcPr>
          <w:p w14:paraId="72DA451D"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.656</w:t>
            </w:r>
          </w:p>
        </w:tc>
        <w:tc>
          <w:tcPr>
            <w:tcW w:w="709" w:type="dxa"/>
            <w:tcBorders>
              <w:top w:val="single" w:sz="4" w:space="0" w:color="auto"/>
            </w:tcBorders>
          </w:tcPr>
          <w:p w14:paraId="3A9A52F6"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.058</w:t>
            </w:r>
          </w:p>
        </w:tc>
      </w:tr>
      <w:tr w:rsidR="006A738B" w:rsidRPr="00465869" w14:paraId="4E7FE4B8" w14:textId="77777777" w:rsidTr="006A738B">
        <w:tc>
          <w:tcPr>
            <w:tcW w:w="1560" w:type="dxa"/>
            <w:vMerge/>
            <w:tcBorders>
              <w:bottom w:val="single" w:sz="4" w:space="0" w:color="auto"/>
            </w:tcBorders>
          </w:tcPr>
          <w:p w14:paraId="7A8A3C60"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p>
        </w:tc>
        <w:tc>
          <w:tcPr>
            <w:tcW w:w="992" w:type="dxa"/>
          </w:tcPr>
          <w:p w14:paraId="243B208B"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Ítem 14</w:t>
            </w:r>
          </w:p>
        </w:tc>
        <w:tc>
          <w:tcPr>
            <w:tcW w:w="850" w:type="dxa"/>
          </w:tcPr>
          <w:p w14:paraId="0B5C3D1B"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1.997</w:t>
            </w:r>
          </w:p>
        </w:tc>
        <w:tc>
          <w:tcPr>
            <w:tcW w:w="709" w:type="dxa"/>
          </w:tcPr>
          <w:p w14:paraId="6CA0E8A8"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.046</w:t>
            </w:r>
          </w:p>
        </w:tc>
        <w:tc>
          <w:tcPr>
            <w:tcW w:w="709" w:type="dxa"/>
          </w:tcPr>
          <w:p w14:paraId="740A698B"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.237</w:t>
            </w:r>
          </w:p>
        </w:tc>
      </w:tr>
      <w:tr w:rsidR="006A738B" w:rsidRPr="00465869" w14:paraId="58E6F262" w14:textId="77777777" w:rsidTr="006A738B">
        <w:tc>
          <w:tcPr>
            <w:tcW w:w="1560" w:type="dxa"/>
            <w:vMerge/>
            <w:tcBorders>
              <w:bottom w:val="single" w:sz="4" w:space="0" w:color="auto"/>
            </w:tcBorders>
          </w:tcPr>
          <w:p w14:paraId="1B763DFD"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p>
        </w:tc>
        <w:tc>
          <w:tcPr>
            <w:tcW w:w="992" w:type="dxa"/>
          </w:tcPr>
          <w:p w14:paraId="2234CFE7"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Ítem 15</w:t>
            </w:r>
          </w:p>
        </w:tc>
        <w:tc>
          <w:tcPr>
            <w:tcW w:w="850" w:type="dxa"/>
          </w:tcPr>
          <w:p w14:paraId="5F18A536"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1.440</w:t>
            </w:r>
          </w:p>
        </w:tc>
        <w:tc>
          <w:tcPr>
            <w:tcW w:w="709" w:type="dxa"/>
          </w:tcPr>
          <w:p w14:paraId="4F86EFB8"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.150</w:t>
            </w:r>
          </w:p>
        </w:tc>
        <w:tc>
          <w:tcPr>
            <w:tcW w:w="709" w:type="dxa"/>
          </w:tcPr>
          <w:p w14:paraId="06A73D4A"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.181</w:t>
            </w:r>
          </w:p>
        </w:tc>
      </w:tr>
      <w:tr w:rsidR="006A738B" w:rsidRPr="00465869" w14:paraId="7ED9CA38" w14:textId="77777777" w:rsidTr="006A738B">
        <w:tc>
          <w:tcPr>
            <w:tcW w:w="1560" w:type="dxa"/>
            <w:vMerge/>
            <w:tcBorders>
              <w:bottom w:val="single" w:sz="4" w:space="0" w:color="auto"/>
            </w:tcBorders>
          </w:tcPr>
          <w:p w14:paraId="2EED83C7"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p>
        </w:tc>
        <w:tc>
          <w:tcPr>
            <w:tcW w:w="992" w:type="dxa"/>
          </w:tcPr>
          <w:p w14:paraId="68E52B87"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Ítem 16</w:t>
            </w:r>
          </w:p>
        </w:tc>
        <w:tc>
          <w:tcPr>
            <w:tcW w:w="850" w:type="dxa"/>
          </w:tcPr>
          <w:p w14:paraId="3AC3C9C3"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1.292</w:t>
            </w:r>
          </w:p>
        </w:tc>
        <w:tc>
          <w:tcPr>
            <w:tcW w:w="709" w:type="dxa"/>
          </w:tcPr>
          <w:p w14:paraId="04201104"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.196</w:t>
            </w:r>
          </w:p>
        </w:tc>
        <w:tc>
          <w:tcPr>
            <w:tcW w:w="709" w:type="dxa"/>
          </w:tcPr>
          <w:p w14:paraId="5D396B64"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.156</w:t>
            </w:r>
          </w:p>
        </w:tc>
      </w:tr>
      <w:tr w:rsidR="006A738B" w:rsidRPr="00465869" w14:paraId="76076C37" w14:textId="77777777" w:rsidTr="006A738B">
        <w:tc>
          <w:tcPr>
            <w:tcW w:w="1560" w:type="dxa"/>
            <w:vMerge/>
            <w:tcBorders>
              <w:bottom w:val="single" w:sz="4" w:space="0" w:color="auto"/>
            </w:tcBorders>
          </w:tcPr>
          <w:p w14:paraId="042FBFF5"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p>
        </w:tc>
        <w:tc>
          <w:tcPr>
            <w:tcW w:w="992" w:type="dxa"/>
          </w:tcPr>
          <w:p w14:paraId="36E3C5FD"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Ítem 17</w:t>
            </w:r>
          </w:p>
        </w:tc>
        <w:tc>
          <w:tcPr>
            <w:tcW w:w="850" w:type="dxa"/>
          </w:tcPr>
          <w:p w14:paraId="5B2F4649"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1.441</w:t>
            </w:r>
          </w:p>
        </w:tc>
        <w:tc>
          <w:tcPr>
            <w:tcW w:w="709" w:type="dxa"/>
          </w:tcPr>
          <w:p w14:paraId="3FA85462"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.150</w:t>
            </w:r>
          </w:p>
        </w:tc>
        <w:tc>
          <w:tcPr>
            <w:tcW w:w="709" w:type="dxa"/>
          </w:tcPr>
          <w:p w14:paraId="37BA02BA"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.188</w:t>
            </w:r>
          </w:p>
        </w:tc>
      </w:tr>
      <w:tr w:rsidR="006A738B" w:rsidRPr="00465869" w14:paraId="3A178EAC" w14:textId="77777777" w:rsidTr="006A738B">
        <w:tc>
          <w:tcPr>
            <w:tcW w:w="1560" w:type="dxa"/>
            <w:vMerge/>
            <w:tcBorders>
              <w:bottom w:val="single" w:sz="4" w:space="0" w:color="auto"/>
            </w:tcBorders>
          </w:tcPr>
          <w:p w14:paraId="15CF613C"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p>
        </w:tc>
        <w:tc>
          <w:tcPr>
            <w:tcW w:w="992" w:type="dxa"/>
            <w:tcBorders>
              <w:bottom w:val="single" w:sz="4" w:space="0" w:color="auto"/>
            </w:tcBorders>
          </w:tcPr>
          <w:p w14:paraId="4FD1F9D0"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Ítem 18</w:t>
            </w:r>
          </w:p>
        </w:tc>
        <w:tc>
          <w:tcPr>
            <w:tcW w:w="850" w:type="dxa"/>
            <w:tcBorders>
              <w:bottom w:val="single" w:sz="4" w:space="0" w:color="auto"/>
            </w:tcBorders>
          </w:tcPr>
          <w:p w14:paraId="4569712F"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-1.585</w:t>
            </w:r>
          </w:p>
        </w:tc>
        <w:tc>
          <w:tcPr>
            <w:tcW w:w="709" w:type="dxa"/>
            <w:tcBorders>
              <w:bottom w:val="single" w:sz="4" w:space="0" w:color="auto"/>
            </w:tcBorders>
          </w:tcPr>
          <w:p w14:paraId="792802FE"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.113</w:t>
            </w:r>
          </w:p>
        </w:tc>
        <w:tc>
          <w:tcPr>
            <w:tcW w:w="709" w:type="dxa"/>
            <w:tcBorders>
              <w:bottom w:val="single" w:sz="4" w:space="0" w:color="auto"/>
            </w:tcBorders>
          </w:tcPr>
          <w:p w14:paraId="0F07D232" w14:textId="77777777" w:rsidR="00C35B7C" w:rsidRPr="00465869" w:rsidRDefault="00C35B7C" w:rsidP="00DA2B97">
            <w:pPr>
              <w:jc w:val="both"/>
              <w:rPr>
                <w:rFonts w:ascii="Roboto" w:eastAsia="Roboto" w:hAnsi="Roboto" w:cs="Roboto"/>
                <w:color w:val="000000"/>
                <w:kern w:val="0"/>
                <w:sz w:val="20"/>
                <w:szCs w:val="20"/>
                <w:lang w:eastAsia="es-MX"/>
                <w14:ligatures w14:val="none"/>
              </w:rPr>
            </w:pPr>
            <w:r w:rsidRPr="00465869">
              <w:rPr>
                <w:rFonts w:ascii="Roboto" w:eastAsia="Roboto" w:hAnsi="Roboto" w:cs="Roboto"/>
                <w:color w:val="000000"/>
                <w:kern w:val="0"/>
                <w:sz w:val="20"/>
                <w:szCs w:val="20"/>
                <w:lang w:eastAsia="es-MX"/>
                <w14:ligatures w14:val="none"/>
              </w:rPr>
              <w:t>.198</w:t>
            </w:r>
          </w:p>
        </w:tc>
      </w:tr>
    </w:tbl>
    <w:p w14:paraId="6C928053" w14:textId="77777777" w:rsidR="00C35B7C" w:rsidRPr="00465869" w:rsidRDefault="00C35B7C" w:rsidP="00C35B7C">
      <w:pPr>
        <w:jc w:val="both"/>
        <w:rPr>
          <w:rFonts w:ascii="Roboto" w:eastAsia="Roboto" w:hAnsi="Roboto" w:cs="Roboto"/>
          <w:color w:val="000000"/>
          <w:sz w:val="20"/>
          <w:szCs w:val="20"/>
        </w:rPr>
      </w:pPr>
      <w:r w:rsidRPr="00465869">
        <w:rPr>
          <w:rFonts w:ascii="Roboto" w:eastAsia="Roboto" w:hAnsi="Roboto" w:cs="Roboto"/>
          <w:i/>
          <w:iCs/>
          <w:color w:val="000000"/>
          <w:sz w:val="20"/>
          <w:szCs w:val="20"/>
        </w:rPr>
        <w:t>Nota.</w:t>
      </w:r>
      <w:r w:rsidRPr="00465869">
        <w:rPr>
          <w:rFonts w:ascii="Roboto" w:eastAsia="Roboto" w:hAnsi="Roboto" w:cs="Roboto"/>
          <w:color w:val="000000"/>
          <w:sz w:val="20"/>
          <w:szCs w:val="20"/>
        </w:rPr>
        <w:t xml:space="preserve"> Elaboración propia</w:t>
      </w:r>
      <w:r>
        <w:rPr>
          <w:rFonts w:ascii="Roboto" w:eastAsia="Roboto" w:hAnsi="Roboto" w:cs="Roboto"/>
          <w:color w:val="000000"/>
          <w:sz w:val="20"/>
          <w:szCs w:val="20"/>
        </w:rPr>
        <w:t>.</w:t>
      </w:r>
    </w:p>
    <w:p w14:paraId="7FBFBE70" w14:textId="77777777" w:rsidR="006A738B" w:rsidRDefault="006A738B" w:rsidP="00C35B7C">
      <w:pPr>
        <w:jc w:val="both"/>
        <w:rPr>
          <w:rFonts w:ascii="Roboto" w:eastAsia="Roboto" w:hAnsi="Roboto" w:cs="Roboto"/>
          <w:color w:val="000000"/>
          <w:sz w:val="20"/>
          <w:szCs w:val="20"/>
        </w:rPr>
      </w:pPr>
    </w:p>
    <w:p w14:paraId="1F09A300" w14:textId="77777777" w:rsidR="006A738B" w:rsidRPr="008E0320" w:rsidRDefault="006A738B" w:rsidP="006A738B">
      <w:pPr>
        <w:jc w:val="both"/>
        <w:rPr>
          <w:rFonts w:ascii="Roboto" w:eastAsia="Roboto" w:hAnsi="Roboto" w:cs="Roboto"/>
          <w:color w:val="000000"/>
          <w:sz w:val="20"/>
          <w:szCs w:val="20"/>
        </w:rPr>
      </w:pPr>
      <w:r>
        <w:rPr>
          <w:rFonts w:ascii="Roboto" w:eastAsia="Roboto" w:hAnsi="Roboto" w:cs="Roboto"/>
          <w:b/>
          <w:sz w:val="20"/>
          <w:szCs w:val="20"/>
        </w:rPr>
        <w:t>Tabla 2.</w:t>
      </w:r>
      <w:r>
        <w:rPr>
          <w:rFonts w:ascii="Roboto" w:eastAsia="Roboto" w:hAnsi="Roboto" w:cs="Roboto"/>
          <w:sz w:val="20"/>
          <w:szCs w:val="20"/>
        </w:rPr>
        <w:t xml:space="preserve"> </w:t>
      </w:r>
      <w:r w:rsidRPr="008E0320">
        <w:rPr>
          <w:rFonts w:ascii="Roboto" w:eastAsia="Roboto" w:hAnsi="Roboto" w:cs="Roboto"/>
          <w:color w:val="000000"/>
          <w:sz w:val="20"/>
          <w:szCs w:val="20"/>
        </w:rPr>
        <w:t>Comparación de muestras relacionadas, en el pretest y el postest con el puntaje total de autoeficacia, empleando la prueba de Wilcoxon</w:t>
      </w:r>
    </w:p>
    <w:tbl>
      <w:tblPr>
        <w:tblStyle w:val="Tablaconcuadrcula"/>
        <w:tblW w:w="47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6"/>
        <w:gridCol w:w="1307"/>
        <w:gridCol w:w="704"/>
        <w:gridCol w:w="595"/>
        <w:gridCol w:w="595"/>
      </w:tblGrid>
      <w:tr w:rsidR="006A738B" w:rsidRPr="008E0320" w14:paraId="050D4CC1" w14:textId="77777777" w:rsidTr="006A738B">
        <w:tc>
          <w:tcPr>
            <w:tcW w:w="1526" w:type="dxa"/>
            <w:tcBorders>
              <w:top w:val="single" w:sz="4" w:space="0" w:color="auto"/>
              <w:bottom w:val="single" w:sz="4" w:space="0" w:color="auto"/>
            </w:tcBorders>
          </w:tcPr>
          <w:p w14:paraId="4034DBD0" w14:textId="77777777" w:rsidR="006A738B" w:rsidRPr="008E0320" w:rsidRDefault="006A738B" w:rsidP="00DA2B97">
            <w:pPr>
              <w:jc w:val="both"/>
              <w:rPr>
                <w:rFonts w:ascii="Roboto" w:eastAsia="Roboto" w:hAnsi="Roboto" w:cs="Roboto"/>
                <w:i/>
                <w:iCs/>
                <w:color w:val="000000"/>
                <w:kern w:val="0"/>
                <w:sz w:val="20"/>
                <w:szCs w:val="20"/>
                <w:lang w:eastAsia="es-MX"/>
                <w14:ligatures w14:val="none"/>
              </w:rPr>
            </w:pPr>
          </w:p>
        </w:tc>
        <w:tc>
          <w:tcPr>
            <w:tcW w:w="1307" w:type="dxa"/>
            <w:tcBorders>
              <w:top w:val="single" w:sz="4" w:space="0" w:color="auto"/>
              <w:bottom w:val="single" w:sz="4" w:space="0" w:color="auto"/>
            </w:tcBorders>
          </w:tcPr>
          <w:p w14:paraId="46E1886A" w14:textId="77777777" w:rsidR="006A738B" w:rsidRPr="008E0320" w:rsidRDefault="006A738B" w:rsidP="00DA2B97">
            <w:pPr>
              <w:jc w:val="both"/>
              <w:rPr>
                <w:rFonts w:ascii="Roboto" w:eastAsia="Roboto" w:hAnsi="Roboto" w:cs="Roboto"/>
                <w:i/>
                <w:iCs/>
                <w:color w:val="000000"/>
                <w:kern w:val="0"/>
                <w:sz w:val="20"/>
                <w:szCs w:val="20"/>
                <w:lang w:eastAsia="es-MX"/>
                <w14:ligatures w14:val="none"/>
              </w:rPr>
            </w:pPr>
            <w:r w:rsidRPr="008E0320">
              <w:rPr>
                <w:rFonts w:ascii="Roboto" w:eastAsia="Roboto" w:hAnsi="Roboto" w:cs="Roboto"/>
                <w:i/>
                <w:iCs/>
                <w:color w:val="000000"/>
                <w:kern w:val="0"/>
                <w:sz w:val="20"/>
                <w:szCs w:val="20"/>
                <w:lang w:eastAsia="es-MX"/>
                <w14:ligatures w14:val="none"/>
              </w:rPr>
              <w:t>Variable</w:t>
            </w:r>
          </w:p>
        </w:tc>
        <w:tc>
          <w:tcPr>
            <w:tcW w:w="704" w:type="dxa"/>
            <w:tcBorders>
              <w:top w:val="single" w:sz="4" w:space="0" w:color="auto"/>
              <w:bottom w:val="single" w:sz="4" w:space="0" w:color="auto"/>
            </w:tcBorders>
          </w:tcPr>
          <w:p w14:paraId="553B19C8" w14:textId="77777777" w:rsidR="006A738B" w:rsidRPr="008E0320" w:rsidRDefault="006A738B" w:rsidP="00DA2B97">
            <w:pPr>
              <w:jc w:val="both"/>
              <w:rPr>
                <w:rFonts w:ascii="Roboto" w:eastAsia="Roboto" w:hAnsi="Roboto" w:cs="Roboto"/>
                <w:i/>
                <w:iCs/>
                <w:color w:val="000000"/>
                <w:kern w:val="0"/>
                <w:sz w:val="20"/>
                <w:szCs w:val="20"/>
                <w:lang w:eastAsia="es-MX"/>
                <w14:ligatures w14:val="none"/>
              </w:rPr>
            </w:pPr>
            <w:r w:rsidRPr="008E0320">
              <w:rPr>
                <w:rFonts w:ascii="Roboto" w:eastAsia="Roboto" w:hAnsi="Roboto" w:cs="Roboto"/>
                <w:i/>
                <w:iCs/>
                <w:color w:val="000000"/>
                <w:kern w:val="0"/>
                <w:sz w:val="20"/>
                <w:szCs w:val="20"/>
                <w:lang w:eastAsia="es-MX"/>
                <w14:ligatures w14:val="none"/>
              </w:rPr>
              <w:t>Z</w:t>
            </w:r>
          </w:p>
        </w:tc>
        <w:tc>
          <w:tcPr>
            <w:tcW w:w="595" w:type="dxa"/>
            <w:tcBorders>
              <w:top w:val="single" w:sz="4" w:space="0" w:color="auto"/>
              <w:bottom w:val="single" w:sz="4" w:space="0" w:color="auto"/>
            </w:tcBorders>
          </w:tcPr>
          <w:p w14:paraId="5758EE3D" w14:textId="77777777" w:rsidR="006A738B" w:rsidRPr="008E0320" w:rsidRDefault="006A738B" w:rsidP="00DA2B97">
            <w:pPr>
              <w:jc w:val="both"/>
              <w:rPr>
                <w:rFonts w:ascii="Roboto" w:eastAsia="Roboto" w:hAnsi="Roboto" w:cs="Roboto"/>
                <w:i/>
                <w:iCs/>
                <w:color w:val="000000"/>
                <w:kern w:val="0"/>
                <w:sz w:val="20"/>
                <w:szCs w:val="20"/>
                <w:lang w:eastAsia="es-MX"/>
                <w14:ligatures w14:val="none"/>
              </w:rPr>
            </w:pPr>
            <w:r w:rsidRPr="008E0320">
              <w:rPr>
                <w:rFonts w:ascii="Roboto" w:eastAsia="Roboto" w:hAnsi="Roboto" w:cs="Roboto"/>
                <w:i/>
                <w:iCs/>
                <w:color w:val="000000"/>
                <w:kern w:val="0"/>
                <w:sz w:val="20"/>
                <w:szCs w:val="20"/>
                <w:lang w:eastAsia="es-MX"/>
                <w14:ligatures w14:val="none"/>
              </w:rPr>
              <w:t>p</w:t>
            </w:r>
          </w:p>
        </w:tc>
        <w:tc>
          <w:tcPr>
            <w:tcW w:w="595" w:type="dxa"/>
            <w:tcBorders>
              <w:top w:val="single" w:sz="4" w:space="0" w:color="auto"/>
              <w:bottom w:val="single" w:sz="4" w:space="0" w:color="auto"/>
            </w:tcBorders>
          </w:tcPr>
          <w:p w14:paraId="09B8792C" w14:textId="77777777" w:rsidR="006A738B" w:rsidRPr="008E0320" w:rsidRDefault="006A738B" w:rsidP="00DA2B97">
            <w:pPr>
              <w:jc w:val="both"/>
              <w:rPr>
                <w:rFonts w:ascii="Roboto" w:eastAsia="Roboto" w:hAnsi="Roboto" w:cs="Roboto"/>
                <w:i/>
                <w:iCs/>
                <w:color w:val="000000"/>
                <w:kern w:val="0"/>
                <w:sz w:val="20"/>
                <w:szCs w:val="20"/>
                <w:lang w:eastAsia="es-MX"/>
                <w14:ligatures w14:val="none"/>
              </w:rPr>
            </w:pPr>
            <w:r w:rsidRPr="008E0320">
              <w:rPr>
                <w:rFonts w:ascii="Roboto" w:eastAsia="Roboto" w:hAnsi="Roboto" w:cs="Roboto"/>
                <w:i/>
                <w:iCs/>
                <w:color w:val="000000"/>
                <w:kern w:val="0"/>
                <w:sz w:val="20"/>
                <w:szCs w:val="20"/>
                <w:lang w:eastAsia="es-MX"/>
                <w14:ligatures w14:val="none"/>
              </w:rPr>
              <w:t>rbis</w:t>
            </w:r>
          </w:p>
        </w:tc>
      </w:tr>
      <w:tr w:rsidR="006A738B" w:rsidRPr="008E0320" w14:paraId="4D174D19" w14:textId="77777777" w:rsidTr="006A738B">
        <w:tc>
          <w:tcPr>
            <w:tcW w:w="1526" w:type="dxa"/>
            <w:tcBorders>
              <w:top w:val="single" w:sz="4" w:space="0" w:color="auto"/>
              <w:bottom w:val="single" w:sz="4" w:space="0" w:color="auto"/>
            </w:tcBorders>
          </w:tcPr>
          <w:p w14:paraId="6A462B54" w14:textId="235E641D" w:rsidR="006A738B" w:rsidRPr="008E0320" w:rsidRDefault="006A738B" w:rsidP="00DA2B97">
            <w:pPr>
              <w:jc w:val="both"/>
              <w:rPr>
                <w:rFonts w:ascii="Roboto" w:eastAsia="Roboto" w:hAnsi="Roboto" w:cs="Roboto"/>
                <w:i/>
                <w:iCs/>
                <w:color w:val="000000"/>
                <w:kern w:val="0"/>
                <w:sz w:val="20"/>
                <w:szCs w:val="20"/>
                <w:lang w:eastAsia="es-MX"/>
                <w14:ligatures w14:val="none"/>
              </w:rPr>
            </w:pPr>
            <w:r w:rsidRPr="008E0320">
              <w:rPr>
                <w:rFonts w:ascii="Roboto" w:eastAsia="Roboto" w:hAnsi="Roboto" w:cs="Roboto"/>
                <w:i/>
                <w:iCs/>
                <w:color w:val="000000"/>
                <w:kern w:val="0"/>
                <w:sz w:val="20"/>
                <w:szCs w:val="20"/>
                <w:lang w:eastAsia="es-MX"/>
                <w14:ligatures w14:val="none"/>
              </w:rPr>
              <w:t>Diferencia pre-post en la muestra total</w:t>
            </w:r>
          </w:p>
        </w:tc>
        <w:tc>
          <w:tcPr>
            <w:tcW w:w="1307" w:type="dxa"/>
            <w:tcBorders>
              <w:top w:val="single" w:sz="4" w:space="0" w:color="auto"/>
              <w:bottom w:val="single" w:sz="4" w:space="0" w:color="auto"/>
            </w:tcBorders>
          </w:tcPr>
          <w:p w14:paraId="20F91D98" w14:textId="77777777" w:rsidR="006A738B" w:rsidRPr="008E0320" w:rsidRDefault="006A738B" w:rsidP="00DA2B97">
            <w:pPr>
              <w:jc w:val="both"/>
              <w:rPr>
                <w:rFonts w:ascii="Roboto" w:eastAsia="Roboto" w:hAnsi="Roboto" w:cs="Roboto"/>
                <w:i/>
                <w:iCs/>
                <w:color w:val="000000"/>
                <w:kern w:val="0"/>
                <w:sz w:val="20"/>
                <w:szCs w:val="20"/>
                <w:lang w:eastAsia="es-MX"/>
                <w14:ligatures w14:val="none"/>
              </w:rPr>
            </w:pPr>
            <w:r w:rsidRPr="008E0320">
              <w:rPr>
                <w:rFonts w:ascii="Roboto" w:eastAsia="Roboto" w:hAnsi="Roboto" w:cs="Roboto"/>
                <w:i/>
                <w:iCs/>
                <w:color w:val="000000"/>
                <w:kern w:val="0"/>
                <w:sz w:val="20"/>
                <w:szCs w:val="20"/>
                <w:lang w:eastAsia="es-MX"/>
                <w14:ligatures w14:val="none"/>
              </w:rPr>
              <w:t>Autoeficacia académica</w:t>
            </w:r>
          </w:p>
        </w:tc>
        <w:tc>
          <w:tcPr>
            <w:tcW w:w="704" w:type="dxa"/>
            <w:tcBorders>
              <w:top w:val="single" w:sz="4" w:space="0" w:color="auto"/>
              <w:bottom w:val="single" w:sz="4" w:space="0" w:color="auto"/>
            </w:tcBorders>
          </w:tcPr>
          <w:p w14:paraId="0FF10F29" w14:textId="77777777" w:rsidR="006A738B" w:rsidRPr="008E0320" w:rsidRDefault="006A738B" w:rsidP="00DA2B97">
            <w:pPr>
              <w:jc w:val="both"/>
              <w:rPr>
                <w:rFonts w:ascii="Roboto" w:eastAsia="Roboto" w:hAnsi="Roboto" w:cs="Roboto"/>
                <w:i/>
                <w:iCs/>
                <w:color w:val="000000"/>
                <w:kern w:val="0"/>
                <w:sz w:val="20"/>
                <w:szCs w:val="20"/>
                <w:lang w:eastAsia="es-MX"/>
                <w14:ligatures w14:val="none"/>
              </w:rPr>
            </w:pPr>
            <w:r w:rsidRPr="008E0320">
              <w:rPr>
                <w:rFonts w:ascii="Roboto" w:eastAsia="Roboto" w:hAnsi="Roboto" w:cs="Roboto"/>
                <w:i/>
                <w:iCs/>
                <w:color w:val="000000"/>
                <w:kern w:val="0"/>
                <w:sz w:val="20"/>
                <w:szCs w:val="20"/>
                <w:lang w:eastAsia="es-MX"/>
                <w14:ligatures w14:val="none"/>
              </w:rPr>
              <w:t>2.849</w:t>
            </w:r>
          </w:p>
        </w:tc>
        <w:tc>
          <w:tcPr>
            <w:tcW w:w="595" w:type="dxa"/>
            <w:tcBorders>
              <w:top w:val="single" w:sz="4" w:space="0" w:color="auto"/>
              <w:bottom w:val="single" w:sz="4" w:space="0" w:color="auto"/>
            </w:tcBorders>
          </w:tcPr>
          <w:p w14:paraId="2DDF618D" w14:textId="77777777" w:rsidR="006A738B" w:rsidRPr="008E0320" w:rsidRDefault="006A738B" w:rsidP="00DA2B97">
            <w:pPr>
              <w:jc w:val="both"/>
              <w:rPr>
                <w:rFonts w:ascii="Roboto" w:eastAsia="Roboto" w:hAnsi="Roboto" w:cs="Roboto"/>
                <w:i/>
                <w:iCs/>
                <w:color w:val="000000"/>
                <w:kern w:val="0"/>
                <w:sz w:val="20"/>
                <w:szCs w:val="20"/>
                <w:lang w:eastAsia="es-MX"/>
                <w14:ligatures w14:val="none"/>
              </w:rPr>
            </w:pPr>
            <w:r w:rsidRPr="008E0320">
              <w:rPr>
                <w:rFonts w:ascii="Roboto" w:eastAsia="Roboto" w:hAnsi="Roboto" w:cs="Roboto"/>
                <w:i/>
                <w:iCs/>
                <w:color w:val="000000"/>
                <w:kern w:val="0"/>
                <w:sz w:val="20"/>
                <w:szCs w:val="20"/>
                <w:lang w:eastAsia="es-MX"/>
                <w14:ligatures w14:val="none"/>
              </w:rPr>
              <w:t>.004</w:t>
            </w:r>
          </w:p>
        </w:tc>
        <w:tc>
          <w:tcPr>
            <w:tcW w:w="595" w:type="dxa"/>
            <w:tcBorders>
              <w:top w:val="single" w:sz="4" w:space="0" w:color="auto"/>
              <w:bottom w:val="single" w:sz="4" w:space="0" w:color="auto"/>
            </w:tcBorders>
          </w:tcPr>
          <w:p w14:paraId="6DAE26E7" w14:textId="77777777" w:rsidR="006A738B" w:rsidRPr="008E0320" w:rsidRDefault="006A738B" w:rsidP="00DA2B97">
            <w:pPr>
              <w:jc w:val="both"/>
              <w:rPr>
                <w:rFonts w:ascii="Roboto" w:eastAsia="Roboto" w:hAnsi="Roboto" w:cs="Roboto"/>
                <w:i/>
                <w:iCs/>
                <w:color w:val="000000"/>
                <w:kern w:val="0"/>
                <w:sz w:val="20"/>
                <w:szCs w:val="20"/>
                <w:lang w:eastAsia="es-MX"/>
                <w14:ligatures w14:val="none"/>
              </w:rPr>
            </w:pPr>
            <w:r w:rsidRPr="008E0320">
              <w:rPr>
                <w:rFonts w:ascii="Roboto" w:eastAsia="Roboto" w:hAnsi="Roboto" w:cs="Roboto"/>
                <w:i/>
                <w:iCs/>
                <w:color w:val="000000"/>
                <w:kern w:val="0"/>
                <w:sz w:val="20"/>
                <w:szCs w:val="20"/>
                <w:lang w:eastAsia="es-MX"/>
                <w14:ligatures w14:val="none"/>
              </w:rPr>
              <w:t>.306</w:t>
            </w:r>
          </w:p>
        </w:tc>
      </w:tr>
    </w:tbl>
    <w:p w14:paraId="7C555719" w14:textId="40F51CD0" w:rsidR="006A738B" w:rsidRDefault="006A738B" w:rsidP="00C35B7C">
      <w:pPr>
        <w:jc w:val="both"/>
        <w:rPr>
          <w:rFonts w:ascii="Roboto" w:eastAsia="Roboto" w:hAnsi="Roboto" w:cs="Roboto"/>
          <w:color w:val="000000"/>
          <w:sz w:val="20"/>
          <w:szCs w:val="20"/>
        </w:rPr>
      </w:pPr>
      <w:r w:rsidRPr="00465869">
        <w:rPr>
          <w:rFonts w:ascii="Roboto" w:eastAsia="Roboto" w:hAnsi="Roboto" w:cs="Roboto"/>
          <w:i/>
          <w:iCs/>
          <w:color w:val="000000"/>
          <w:sz w:val="20"/>
          <w:szCs w:val="20"/>
        </w:rPr>
        <w:t>Nota.</w:t>
      </w:r>
      <w:r w:rsidRPr="00465869">
        <w:rPr>
          <w:rFonts w:ascii="Roboto" w:eastAsia="Roboto" w:hAnsi="Roboto" w:cs="Roboto"/>
          <w:color w:val="000000"/>
          <w:sz w:val="20"/>
          <w:szCs w:val="20"/>
        </w:rPr>
        <w:t xml:space="preserve"> Elaboración propia</w:t>
      </w:r>
      <w:r>
        <w:rPr>
          <w:rFonts w:ascii="Roboto" w:eastAsia="Roboto" w:hAnsi="Roboto" w:cs="Roboto"/>
          <w:color w:val="000000"/>
          <w:sz w:val="20"/>
          <w:szCs w:val="20"/>
        </w:rPr>
        <w:t>.</w:t>
      </w:r>
    </w:p>
    <w:p w14:paraId="110F5F29" w14:textId="77777777" w:rsidR="006A738B" w:rsidRDefault="006A738B" w:rsidP="00C35B7C">
      <w:pPr>
        <w:jc w:val="both"/>
        <w:rPr>
          <w:rFonts w:ascii="Roboto" w:eastAsia="Roboto" w:hAnsi="Roboto" w:cs="Roboto"/>
          <w:color w:val="000000"/>
          <w:sz w:val="20"/>
          <w:szCs w:val="20"/>
        </w:rPr>
      </w:pPr>
    </w:p>
    <w:p w14:paraId="4B51E737" w14:textId="79F9B9AF" w:rsidR="00C35B7C" w:rsidRPr="00465869" w:rsidRDefault="00C35B7C" w:rsidP="00C35B7C">
      <w:pPr>
        <w:jc w:val="both"/>
        <w:rPr>
          <w:rFonts w:ascii="Roboto" w:eastAsia="Roboto" w:hAnsi="Roboto" w:cs="Roboto"/>
          <w:color w:val="000000"/>
          <w:sz w:val="20"/>
          <w:szCs w:val="20"/>
        </w:rPr>
      </w:pPr>
      <w:r w:rsidRPr="00465869">
        <w:rPr>
          <w:rFonts w:ascii="Roboto" w:eastAsia="Roboto" w:hAnsi="Roboto" w:cs="Roboto"/>
          <w:color w:val="000000"/>
          <w:sz w:val="20"/>
          <w:szCs w:val="20"/>
        </w:rPr>
        <w:t>Al analizar los puntajes totales de la variable autoeficacia se encontraron diferencias estadísticamente significativas (Z = 2.849, p = 0.004) entre el rango de autoeficacia del pretest y del postets. La prueba con rangos de signos de Wilcoxon mostró que la intervención desde la perspectiva accional influye en el incremento de autoeficacia académica (Md = 50, Rango = 53), con un efecto de tamaño mediano (rbis = 0.306), en comparación con las puntuaciones de autoeficacia antes de las actividades y tareas (Md = 48, Rango = 53).</w:t>
      </w:r>
    </w:p>
    <w:p w14:paraId="56240064" w14:textId="77777777" w:rsidR="00107E19" w:rsidRDefault="00107E19">
      <w:pPr>
        <w:pBdr>
          <w:top w:val="nil"/>
          <w:left w:val="nil"/>
          <w:bottom w:val="nil"/>
          <w:right w:val="nil"/>
          <w:between w:val="nil"/>
        </w:pBdr>
        <w:jc w:val="both"/>
        <w:rPr>
          <w:rFonts w:ascii="Roboto" w:eastAsia="Roboto" w:hAnsi="Roboto" w:cs="Roboto"/>
          <w:color w:val="000000"/>
          <w:sz w:val="20"/>
          <w:szCs w:val="20"/>
        </w:rPr>
      </w:pPr>
    </w:p>
    <w:p w14:paraId="3E2FD831" w14:textId="47C92478" w:rsidR="00107E19" w:rsidRDefault="006A738B">
      <w:pPr>
        <w:jc w:val="both"/>
        <w:rPr>
          <w:rFonts w:ascii="Roboto" w:eastAsia="Roboto" w:hAnsi="Roboto" w:cs="Roboto"/>
          <w:b/>
          <w:sz w:val="20"/>
          <w:szCs w:val="20"/>
        </w:rPr>
      </w:pPr>
      <w:r>
        <w:rPr>
          <w:rFonts w:ascii="Roboto" w:eastAsia="Roboto" w:hAnsi="Roboto" w:cs="Roboto"/>
          <w:b/>
          <w:sz w:val="20"/>
          <w:szCs w:val="20"/>
        </w:rPr>
        <w:t>DISCUSIÓN Y CONCLUSIÓN</w:t>
      </w:r>
    </w:p>
    <w:p w14:paraId="77C4AD0D" w14:textId="6C52DDCF" w:rsidR="006A738B" w:rsidRPr="008E0320" w:rsidRDefault="006A738B" w:rsidP="006A738B">
      <w:pPr>
        <w:pStyle w:val="NormalWeb"/>
        <w:spacing w:before="0" w:beforeAutospacing="0" w:after="0" w:afterAutospacing="0"/>
        <w:jc w:val="both"/>
        <w:rPr>
          <w:rFonts w:ascii="Roboto" w:eastAsia="Roboto" w:hAnsi="Roboto" w:cs="Roboto"/>
          <w:color w:val="000000"/>
          <w:sz w:val="20"/>
          <w:szCs w:val="20"/>
        </w:rPr>
      </w:pPr>
      <w:r w:rsidRPr="008E0320">
        <w:rPr>
          <w:rFonts w:ascii="Roboto" w:eastAsia="Roboto" w:hAnsi="Roboto" w:cs="Roboto"/>
          <w:color w:val="000000"/>
          <w:sz w:val="20"/>
          <w:szCs w:val="20"/>
        </w:rPr>
        <w:t xml:space="preserve">El aprendizaje de una lengua extranjera desde lo accional implica constancia y confianza en la capacidad de superación de barreras al aprendizaje y la participación, reforzándose la labor académica como un deber o exigencia en el marco de la calidad educativa, por lo que se coincide con Burgos y Salas (2020) respecto a la perseverancia y la responsabilidad para afrontar tareas desafiantes. </w:t>
      </w:r>
    </w:p>
    <w:p w14:paraId="6782D87D" w14:textId="77777777" w:rsidR="006A738B" w:rsidRDefault="006A738B" w:rsidP="006A738B">
      <w:pPr>
        <w:pStyle w:val="NormalWeb"/>
        <w:spacing w:before="0" w:beforeAutospacing="0" w:after="0" w:afterAutospacing="0"/>
        <w:jc w:val="both"/>
        <w:rPr>
          <w:rFonts w:ascii="Roboto" w:eastAsia="Roboto" w:hAnsi="Roboto" w:cs="Roboto"/>
          <w:color w:val="000000"/>
          <w:sz w:val="20"/>
          <w:szCs w:val="20"/>
        </w:rPr>
      </w:pPr>
      <w:r w:rsidRPr="008E0320">
        <w:rPr>
          <w:rFonts w:ascii="Roboto" w:eastAsia="Roboto" w:hAnsi="Roboto" w:cs="Roboto"/>
          <w:color w:val="000000"/>
          <w:sz w:val="20"/>
          <w:szCs w:val="20"/>
        </w:rPr>
        <w:t xml:space="preserve">La variación entre el rango de autoeficacia del pretest y del postets favorece la conclusión sobre el valor de la vivencia y experiencia social a través de la relación intersubjetiva, para apostar por la narrativa cotidiana y la transformación del estudiante mediante la acción </w:t>
      </w:r>
      <w:r w:rsidRPr="008E0320">
        <w:rPr>
          <w:rFonts w:ascii="Roboto" w:eastAsia="Roboto" w:hAnsi="Roboto" w:cs="Roboto"/>
          <w:color w:val="000000"/>
          <w:sz w:val="20"/>
          <w:szCs w:val="20"/>
        </w:rPr>
        <w:t>comunicativa en el aula, pudiéndose constatar lo manifestado por Herrera y Gutiérrez (2019).</w:t>
      </w:r>
      <w:r>
        <w:rPr>
          <w:rFonts w:ascii="Roboto" w:eastAsia="Roboto" w:hAnsi="Roboto" w:cs="Roboto"/>
          <w:color w:val="000000"/>
          <w:sz w:val="20"/>
          <w:szCs w:val="20"/>
        </w:rPr>
        <w:t xml:space="preserve"> </w:t>
      </w:r>
    </w:p>
    <w:p w14:paraId="52156BF5" w14:textId="339B4A6C" w:rsidR="006A738B" w:rsidRPr="008E0320" w:rsidRDefault="006A738B" w:rsidP="006A738B">
      <w:pPr>
        <w:pStyle w:val="NormalWeb"/>
        <w:spacing w:before="0" w:beforeAutospacing="0" w:after="0" w:afterAutospacing="0"/>
        <w:jc w:val="both"/>
        <w:rPr>
          <w:rFonts w:ascii="Roboto" w:eastAsia="Roboto" w:hAnsi="Roboto" w:cs="Roboto"/>
          <w:color w:val="000000"/>
          <w:sz w:val="20"/>
          <w:szCs w:val="20"/>
        </w:rPr>
      </w:pPr>
      <w:r w:rsidRPr="008E0320">
        <w:rPr>
          <w:rFonts w:ascii="Roboto" w:eastAsia="Roboto" w:hAnsi="Roboto" w:cs="Roboto"/>
          <w:color w:val="000000"/>
          <w:sz w:val="20"/>
          <w:szCs w:val="20"/>
        </w:rPr>
        <w:t>Se puede concluir que se alcanzó el propósito de la investigación, ya que se obtuvieron los datos suficientes sobre la modificación de los niveles de autoeficacia académica en el estudiantado de bachillerato demostrando el impacto positivo de la perspectiva accional. El estudio contribuye a ratificar la adopción de dicha perspectiva como un elemento metodológico base y estructural para la enseñanza de idiomas extranjeros.</w:t>
      </w:r>
    </w:p>
    <w:p w14:paraId="2FEFDD4A" w14:textId="77777777" w:rsidR="00107E19" w:rsidRDefault="00107E19">
      <w:pPr>
        <w:jc w:val="both"/>
        <w:rPr>
          <w:rFonts w:ascii="Roboto" w:eastAsia="Roboto" w:hAnsi="Roboto" w:cs="Roboto"/>
          <w:sz w:val="20"/>
          <w:szCs w:val="20"/>
        </w:rPr>
      </w:pPr>
    </w:p>
    <w:p w14:paraId="2009269E" w14:textId="6CE1F641" w:rsidR="00107E19" w:rsidRDefault="00000000">
      <w:pPr>
        <w:jc w:val="both"/>
        <w:rPr>
          <w:rFonts w:ascii="Roboto" w:eastAsia="Roboto" w:hAnsi="Roboto" w:cs="Roboto"/>
          <w:b/>
          <w:sz w:val="20"/>
          <w:szCs w:val="20"/>
        </w:rPr>
      </w:pPr>
      <w:r>
        <w:rPr>
          <w:rFonts w:ascii="Roboto" w:eastAsia="Roboto" w:hAnsi="Roboto" w:cs="Roboto"/>
          <w:b/>
          <w:sz w:val="20"/>
          <w:szCs w:val="20"/>
        </w:rPr>
        <w:t>REFERENCIAS</w:t>
      </w:r>
    </w:p>
    <w:p w14:paraId="3CD3F3DE" w14:textId="77777777" w:rsidR="00582C51" w:rsidRPr="00335962" w:rsidRDefault="00582C51" w:rsidP="00582C51">
      <w:pPr>
        <w:pStyle w:val="NormalWeb"/>
        <w:spacing w:before="0" w:beforeAutospacing="0" w:after="0" w:afterAutospacing="0"/>
        <w:jc w:val="both"/>
        <w:rPr>
          <w:rFonts w:ascii="Roboto" w:eastAsia="Roboto" w:hAnsi="Roboto" w:cs="Roboto"/>
          <w:color w:val="000000"/>
          <w:sz w:val="20"/>
          <w:szCs w:val="20"/>
        </w:rPr>
      </w:pPr>
      <w:r w:rsidRPr="00335962">
        <w:rPr>
          <w:rFonts w:ascii="Roboto" w:eastAsia="Roboto" w:hAnsi="Roboto" w:cs="Roboto"/>
          <w:color w:val="000000"/>
          <w:sz w:val="20"/>
          <w:szCs w:val="20"/>
        </w:rPr>
        <w:t xml:space="preserve">Bourguignon, C. (2006). De l’ approche communicative à l’«approche communic-actionnelle»: une rupture épistémologique en didactique des langues-cultures. </w:t>
      </w:r>
      <w:r w:rsidRPr="00582C51">
        <w:rPr>
          <w:rFonts w:ascii="Roboto" w:eastAsia="Roboto" w:hAnsi="Roboto" w:cs="Roboto"/>
          <w:i/>
          <w:iCs/>
          <w:color w:val="000000"/>
          <w:sz w:val="20"/>
          <w:szCs w:val="20"/>
        </w:rPr>
        <w:t>Synergies Europe, (1)</w:t>
      </w:r>
      <w:r w:rsidRPr="00335962">
        <w:rPr>
          <w:rFonts w:ascii="Roboto" w:eastAsia="Roboto" w:hAnsi="Roboto" w:cs="Roboto"/>
          <w:color w:val="000000"/>
          <w:sz w:val="20"/>
          <w:szCs w:val="20"/>
        </w:rPr>
        <w:t xml:space="preserve">, 58–73. </w:t>
      </w:r>
      <w:hyperlink r:id="rId9" w:tgtFrame="_blank" w:history="1">
        <w:r w:rsidRPr="00335962">
          <w:rPr>
            <w:rFonts w:ascii="Roboto" w:eastAsia="Roboto" w:hAnsi="Roboto" w:cs="Roboto"/>
            <w:color w:val="000000"/>
            <w:sz w:val="20"/>
            <w:szCs w:val="20"/>
          </w:rPr>
          <w:t>https://gerflint.fr/Base/Europe1/Claire.pdf</w:t>
        </w:r>
      </w:hyperlink>
      <w:r>
        <w:rPr>
          <w:rFonts w:ascii="Roboto" w:eastAsia="Roboto" w:hAnsi="Roboto" w:cs="Roboto"/>
          <w:color w:val="000000"/>
          <w:sz w:val="20"/>
          <w:szCs w:val="20"/>
        </w:rPr>
        <w:t xml:space="preserve"> </w:t>
      </w:r>
    </w:p>
    <w:p w14:paraId="2A3F50E2" w14:textId="77777777" w:rsidR="00582C51" w:rsidRPr="00335962" w:rsidRDefault="00582C51" w:rsidP="00582C51">
      <w:pPr>
        <w:pStyle w:val="NormalWeb"/>
        <w:spacing w:before="0" w:beforeAutospacing="0" w:after="0" w:afterAutospacing="0"/>
        <w:jc w:val="both"/>
        <w:rPr>
          <w:rFonts w:ascii="Roboto" w:eastAsia="Roboto" w:hAnsi="Roboto" w:cs="Roboto"/>
          <w:color w:val="000000"/>
          <w:sz w:val="20"/>
          <w:szCs w:val="20"/>
        </w:rPr>
      </w:pPr>
      <w:r w:rsidRPr="00335962">
        <w:rPr>
          <w:rFonts w:ascii="Roboto" w:eastAsia="Roboto" w:hAnsi="Roboto" w:cs="Roboto"/>
          <w:color w:val="000000"/>
          <w:sz w:val="20"/>
          <w:szCs w:val="20"/>
        </w:rPr>
        <w:t xml:space="preserve">Burgos Torre, K.,S., &amp; Salas Blas, E. (2020). Procrastinación y Autoeficacia académica en estudiantes universitarios limeños. </w:t>
      </w:r>
      <w:r w:rsidRPr="00582C51">
        <w:rPr>
          <w:rFonts w:ascii="Roboto" w:eastAsia="Roboto" w:hAnsi="Roboto" w:cs="Roboto"/>
          <w:i/>
          <w:iCs/>
          <w:color w:val="000000"/>
          <w:sz w:val="20"/>
          <w:szCs w:val="20"/>
        </w:rPr>
        <w:t>Propósitos Y Representaciones, 8</w:t>
      </w:r>
      <w:r w:rsidRPr="00335962">
        <w:rPr>
          <w:rFonts w:ascii="Roboto" w:eastAsia="Roboto" w:hAnsi="Roboto" w:cs="Roboto"/>
          <w:color w:val="000000"/>
          <w:sz w:val="20"/>
          <w:szCs w:val="20"/>
        </w:rPr>
        <w:t>(3), 1–16. 10.20511/pyr2020.v8n3.790</w:t>
      </w:r>
    </w:p>
    <w:p w14:paraId="5A0EC1A5" w14:textId="77777777" w:rsidR="00582C51" w:rsidRPr="00335962" w:rsidRDefault="00582C51" w:rsidP="00582C51">
      <w:pPr>
        <w:pStyle w:val="NormalWeb"/>
        <w:spacing w:before="0" w:beforeAutospacing="0" w:after="0" w:afterAutospacing="0"/>
        <w:jc w:val="both"/>
        <w:rPr>
          <w:rFonts w:ascii="Roboto" w:eastAsia="Roboto" w:hAnsi="Roboto" w:cs="Roboto"/>
          <w:color w:val="000000"/>
          <w:sz w:val="20"/>
          <w:szCs w:val="20"/>
        </w:rPr>
      </w:pPr>
      <w:r w:rsidRPr="00335962">
        <w:rPr>
          <w:rFonts w:ascii="Roboto" w:eastAsia="Roboto" w:hAnsi="Roboto" w:cs="Roboto"/>
          <w:color w:val="000000"/>
          <w:sz w:val="20"/>
          <w:szCs w:val="20"/>
        </w:rPr>
        <w:t xml:space="preserve">Herrera Anaya, T. L., &amp; Gutiérrez Carvajal, D. A. (2019). La puesta en práctica de la perspectiva accional: una forma de acercar a los estudiantes de FLE de la cultura francesa. </w:t>
      </w:r>
      <w:r w:rsidRPr="00582C51">
        <w:rPr>
          <w:rFonts w:ascii="Roboto" w:eastAsia="Roboto" w:hAnsi="Roboto" w:cs="Roboto"/>
          <w:i/>
          <w:iCs/>
          <w:color w:val="000000"/>
          <w:sz w:val="20"/>
          <w:szCs w:val="20"/>
        </w:rPr>
        <w:t>Shimmering Words: Research and Pedagogy E-Journal,</w:t>
      </w:r>
      <w:r w:rsidRPr="00335962">
        <w:rPr>
          <w:rFonts w:ascii="Roboto" w:eastAsia="Roboto" w:hAnsi="Roboto" w:cs="Roboto"/>
          <w:color w:val="000000"/>
          <w:sz w:val="20"/>
          <w:szCs w:val="20"/>
        </w:rPr>
        <w:t xml:space="preserve"> 8, 139–160. </w:t>
      </w:r>
      <w:hyperlink r:id="rId10" w:tgtFrame="_blank" w:history="1">
        <w:r w:rsidRPr="00335962">
          <w:rPr>
            <w:rFonts w:ascii="Roboto" w:eastAsia="Roboto" w:hAnsi="Roboto" w:cs="Roboto"/>
            <w:color w:val="000000"/>
            <w:sz w:val="20"/>
            <w:szCs w:val="20"/>
          </w:rPr>
          <w:t>http://revistas.ustatunja.edu.co/index.php/shimmering/article/view/1802</w:t>
        </w:r>
      </w:hyperlink>
      <w:r>
        <w:rPr>
          <w:rFonts w:ascii="Roboto" w:eastAsia="Roboto" w:hAnsi="Roboto" w:cs="Roboto"/>
          <w:color w:val="000000"/>
          <w:sz w:val="20"/>
          <w:szCs w:val="20"/>
        </w:rPr>
        <w:t xml:space="preserve"> </w:t>
      </w:r>
    </w:p>
    <w:p w14:paraId="0327C517" w14:textId="77777777" w:rsidR="00582C51" w:rsidRPr="00335962" w:rsidRDefault="00582C51" w:rsidP="00582C51">
      <w:pPr>
        <w:pStyle w:val="NormalWeb"/>
        <w:spacing w:before="0" w:beforeAutospacing="0" w:after="0" w:afterAutospacing="0"/>
        <w:jc w:val="both"/>
        <w:rPr>
          <w:rFonts w:ascii="Roboto" w:eastAsia="Roboto" w:hAnsi="Roboto" w:cs="Roboto"/>
          <w:color w:val="000000"/>
          <w:sz w:val="20"/>
          <w:szCs w:val="20"/>
        </w:rPr>
      </w:pPr>
      <w:r w:rsidRPr="00335962">
        <w:rPr>
          <w:rFonts w:ascii="Roboto" w:eastAsia="Roboto" w:hAnsi="Roboto" w:cs="Roboto"/>
          <w:color w:val="000000"/>
          <w:sz w:val="20"/>
          <w:szCs w:val="20"/>
        </w:rPr>
        <w:t xml:space="preserve">Instituto Cervantes. (2002). </w:t>
      </w:r>
      <w:r w:rsidRPr="00582C51">
        <w:rPr>
          <w:rFonts w:ascii="Roboto" w:eastAsia="Roboto" w:hAnsi="Roboto" w:cs="Roboto"/>
          <w:i/>
          <w:iCs/>
          <w:color w:val="000000"/>
          <w:sz w:val="20"/>
          <w:szCs w:val="20"/>
        </w:rPr>
        <w:t>Marco común europeo de referencia para las lenguas: aprendizaje, enseñanza, evaluación</w:t>
      </w:r>
      <w:r w:rsidRPr="00335962">
        <w:rPr>
          <w:rFonts w:ascii="Roboto" w:eastAsia="Roboto" w:hAnsi="Roboto" w:cs="Roboto"/>
          <w:color w:val="000000"/>
          <w:sz w:val="20"/>
          <w:szCs w:val="20"/>
        </w:rPr>
        <w:t xml:space="preserve">. Ministerio de Educación, Cultura y Deporte, Subdirección General de Cooperación Internacional. </w:t>
      </w:r>
      <w:hyperlink r:id="rId11" w:tgtFrame="_blank" w:history="1">
        <w:r w:rsidRPr="00335962">
          <w:rPr>
            <w:rFonts w:ascii="Roboto" w:eastAsia="Roboto" w:hAnsi="Roboto" w:cs="Roboto"/>
            <w:color w:val="000000"/>
            <w:sz w:val="20"/>
            <w:szCs w:val="20"/>
          </w:rPr>
          <w:t>https://cvc.cervantes.es/ENSENANZA/biblioteca_ele/marco/cvc_mer.pdf</w:t>
        </w:r>
      </w:hyperlink>
    </w:p>
    <w:p w14:paraId="27C0B748" w14:textId="77777777" w:rsidR="00582C51" w:rsidRPr="00335962" w:rsidRDefault="00582C51" w:rsidP="00582C51">
      <w:pPr>
        <w:pStyle w:val="NormalWeb"/>
        <w:spacing w:before="0" w:beforeAutospacing="0" w:after="0" w:afterAutospacing="0"/>
        <w:jc w:val="both"/>
        <w:rPr>
          <w:rFonts w:ascii="Roboto" w:eastAsia="Roboto" w:hAnsi="Roboto" w:cs="Roboto"/>
          <w:color w:val="000000"/>
          <w:sz w:val="20"/>
          <w:szCs w:val="20"/>
        </w:rPr>
      </w:pPr>
      <w:r w:rsidRPr="00335962">
        <w:rPr>
          <w:rFonts w:ascii="Roboto" w:eastAsia="Roboto" w:hAnsi="Roboto" w:cs="Roboto"/>
          <w:color w:val="000000"/>
          <w:sz w:val="20"/>
          <w:szCs w:val="20"/>
        </w:rPr>
        <w:t xml:space="preserve">Puren, C. (2004). Del enfoque por tareas a la perspectiva co-accional. </w:t>
      </w:r>
      <w:r w:rsidRPr="00582C51">
        <w:rPr>
          <w:rFonts w:ascii="Roboto" w:eastAsia="Roboto" w:hAnsi="Roboto" w:cs="Roboto"/>
          <w:i/>
          <w:iCs/>
          <w:color w:val="000000"/>
          <w:sz w:val="20"/>
          <w:szCs w:val="20"/>
        </w:rPr>
        <w:t>Porta Linguarum, (1)</w:t>
      </w:r>
      <w:r w:rsidRPr="00335962">
        <w:rPr>
          <w:rFonts w:ascii="Roboto" w:eastAsia="Roboto" w:hAnsi="Roboto" w:cs="Roboto"/>
          <w:color w:val="000000"/>
          <w:sz w:val="20"/>
          <w:szCs w:val="20"/>
        </w:rPr>
        <w:t xml:space="preserve">, 31–36. 10.30827/Digibug.28348 </w:t>
      </w:r>
    </w:p>
    <w:p w14:paraId="27441A47" w14:textId="77777777" w:rsidR="00582C51" w:rsidRPr="00335962" w:rsidRDefault="00582C51" w:rsidP="00582C51">
      <w:pPr>
        <w:pStyle w:val="NormalWeb"/>
        <w:spacing w:before="0" w:beforeAutospacing="0" w:after="0" w:afterAutospacing="0"/>
        <w:jc w:val="both"/>
        <w:rPr>
          <w:rFonts w:ascii="Roboto" w:eastAsia="Roboto" w:hAnsi="Roboto" w:cs="Roboto"/>
          <w:color w:val="000000"/>
          <w:sz w:val="20"/>
          <w:szCs w:val="20"/>
        </w:rPr>
      </w:pPr>
      <w:r w:rsidRPr="00335962">
        <w:rPr>
          <w:rFonts w:ascii="Roboto" w:eastAsia="Roboto" w:hAnsi="Roboto" w:cs="Roboto"/>
          <w:color w:val="000000"/>
          <w:sz w:val="20"/>
          <w:szCs w:val="20"/>
        </w:rPr>
        <w:t xml:space="preserve">Rojas Coloma, J. A., Suastí Cárdenas, R. I., &amp; Zuñiga Delgado, M. S. (2023). Incidencia del enfoque accional para el desarrollo de las destrezas comunicativas en el aprendizaje de los idiomas inglés y francés. </w:t>
      </w:r>
      <w:r w:rsidRPr="00582C51">
        <w:rPr>
          <w:rFonts w:ascii="Roboto" w:eastAsia="Roboto" w:hAnsi="Roboto" w:cs="Roboto"/>
          <w:i/>
          <w:iCs/>
          <w:color w:val="000000"/>
          <w:sz w:val="20"/>
          <w:szCs w:val="20"/>
        </w:rPr>
        <w:t>Prohominum,</w:t>
      </w:r>
      <w:r w:rsidRPr="00335962">
        <w:rPr>
          <w:rFonts w:ascii="Roboto" w:eastAsia="Roboto" w:hAnsi="Roboto" w:cs="Roboto"/>
          <w:color w:val="000000"/>
          <w:sz w:val="20"/>
          <w:szCs w:val="20"/>
        </w:rPr>
        <w:t xml:space="preserve"> 5(4), 195–209. </w:t>
      </w:r>
      <w:hyperlink r:id="rId12" w:tgtFrame="_blank" w:history="1">
        <w:r w:rsidRPr="00335962">
          <w:rPr>
            <w:rFonts w:ascii="Roboto" w:eastAsia="Roboto" w:hAnsi="Roboto" w:cs="Roboto"/>
            <w:color w:val="000000"/>
            <w:sz w:val="20"/>
            <w:szCs w:val="20"/>
          </w:rPr>
          <w:t>https://doi.org/10.47606/ACVEN/PH0219</w:t>
        </w:r>
      </w:hyperlink>
    </w:p>
    <w:p w14:paraId="7AB0ED75" w14:textId="77777777" w:rsidR="00582C51" w:rsidRPr="00335962" w:rsidRDefault="00582C51" w:rsidP="00582C51">
      <w:pPr>
        <w:pStyle w:val="NormalWeb"/>
        <w:spacing w:before="0" w:beforeAutospacing="0" w:after="0" w:afterAutospacing="0"/>
        <w:jc w:val="both"/>
        <w:rPr>
          <w:rFonts w:ascii="Roboto" w:eastAsia="Roboto" w:hAnsi="Roboto" w:cs="Roboto"/>
          <w:color w:val="000000"/>
          <w:sz w:val="20"/>
          <w:szCs w:val="20"/>
        </w:rPr>
      </w:pPr>
      <w:r w:rsidRPr="00335962">
        <w:rPr>
          <w:rFonts w:ascii="Roboto" w:eastAsia="Roboto" w:hAnsi="Roboto" w:cs="Roboto"/>
          <w:color w:val="000000"/>
          <w:sz w:val="20"/>
          <w:szCs w:val="20"/>
        </w:rPr>
        <w:t xml:space="preserve">Vittet, F. (2023). </w:t>
      </w:r>
      <w:r w:rsidRPr="00582C51">
        <w:rPr>
          <w:rFonts w:ascii="Roboto" w:eastAsia="Roboto" w:hAnsi="Roboto" w:cs="Roboto"/>
          <w:i/>
          <w:iCs/>
          <w:color w:val="000000"/>
          <w:sz w:val="20"/>
          <w:szCs w:val="20"/>
        </w:rPr>
        <w:t>Pratique révision A1. 690 exercices avec règles</w:t>
      </w:r>
      <w:r w:rsidRPr="00335962">
        <w:rPr>
          <w:rFonts w:ascii="Roboto" w:eastAsia="Roboto" w:hAnsi="Roboto" w:cs="Roboto"/>
          <w:color w:val="000000"/>
          <w:sz w:val="20"/>
          <w:szCs w:val="20"/>
        </w:rPr>
        <w:t xml:space="preserve">. CLE International. </w:t>
      </w:r>
    </w:p>
    <w:p w14:paraId="4F7F56A3" w14:textId="5550F97A" w:rsidR="00107E19" w:rsidRDefault="00107E19">
      <w:pPr>
        <w:jc w:val="both"/>
        <w:rPr>
          <w:rFonts w:ascii="Roboto" w:eastAsia="Roboto" w:hAnsi="Roboto" w:cs="Roboto"/>
        </w:rPr>
      </w:pPr>
    </w:p>
    <w:sectPr w:rsidR="00107E19">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3DD729" w14:textId="77777777" w:rsidR="009C5893" w:rsidRDefault="009C5893">
      <w:r>
        <w:separator/>
      </w:r>
    </w:p>
  </w:endnote>
  <w:endnote w:type="continuationSeparator" w:id="0">
    <w:p w14:paraId="0B2BDD0F" w14:textId="77777777" w:rsidR="009C5893" w:rsidRDefault="009C58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4921D572-68AA-6B41-9C13-9DE8C5D82B66}"/>
    <w:embedBold r:id="rId2" w:fontKey="{D8084B6B-9591-1A44-826F-E720CA4FF1C9}"/>
    <w:embedItalic r:id="rId3" w:fontKey="{31AE1805-2A7A-D347-8560-52BD4E38DA2C}"/>
  </w:font>
  <w:font w:name="Calibri">
    <w:panose1 w:val="020F0502020204030204"/>
    <w:charset w:val="00"/>
    <w:family w:val="swiss"/>
    <w:pitch w:val="variable"/>
    <w:sig w:usb0="E4002EFF" w:usb1="C000247B" w:usb2="00000009" w:usb3="00000000" w:csb0="000001FF" w:csb1="00000000"/>
    <w:embedRegular r:id="rId4" w:fontKey="{04A8863E-D50E-6643-AB3A-629183061C26}"/>
  </w:font>
  <w:font w:name="Georgia">
    <w:panose1 w:val="02040502050405020303"/>
    <w:charset w:val="00"/>
    <w:family w:val="roman"/>
    <w:pitch w:val="variable"/>
    <w:sig w:usb0="00000287" w:usb1="00000000" w:usb2="00000000" w:usb3="00000000" w:csb0="0000009F" w:csb1="00000000"/>
    <w:embedRegular r:id="rId5" w:fontKey="{C205D30F-58E6-DC47-8BAB-2C98516FF315}"/>
    <w:embedItalic r:id="rId6" w:fontKey="{39AB8388-C4F7-9D40-A30E-FF0E7F84AC5B}"/>
  </w:font>
  <w:font w:name="Roboto">
    <w:panose1 w:val="02000000000000000000"/>
    <w:charset w:val="00"/>
    <w:family w:val="auto"/>
    <w:pitch w:val="variable"/>
    <w:sig w:usb0="E0000AFF" w:usb1="5000217F" w:usb2="00000021" w:usb3="00000000" w:csb0="0000019F" w:csb1="00000000"/>
    <w:embedRegular r:id="rId7" w:fontKey="{BB592EA4-53D4-5C43-965B-E26DC36EF996}"/>
    <w:embedBold r:id="rId8" w:fontKey="{157D19B0-D4BD-BA4B-9E8C-662EC3FF8693}"/>
    <w:embedItalic r:id="rId9" w:fontKey="{CE841F9B-FDEA-EB4F-B5B3-5D5A3EBB426E}"/>
  </w:font>
  <w:font w:name="Calibri Light">
    <w:panose1 w:val="020F0302020204030204"/>
    <w:charset w:val="00"/>
    <w:family w:val="swiss"/>
    <w:pitch w:val="variable"/>
    <w:sig w:usb0="E4002EFF" w:usb1="C000247B" w:usb2="00000009" w:usb3="00000000" w:csb0="000001FF" w:csb1="00000000"/>
    <w:embedRegular r:id="rId10" w:fontKey="{C4E271A1-5AE6-E04E-98AD-690DE5A1BBA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951897" w14:textId="77777777" w:rsidR="009C5893" w:rsidRDefault="009C5893">
      <w:r>
        <w:separator/>
      </w:r>
    </w:p>
  </w:footnote>
  <w:footnote w:type="continuationSeparator" w:id="0">
    <w:p w14:paraId="449AF511" w14:textId="77777777" w:rsidR="009C5893" w:rsidRDefault="009C58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948F8B" w14:textId="77777777" w:rsidR="00107E19" w:rsidRDefault="00107E19">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107E19" w14:paraId="048C2478" w14:textId="77777777">
      <w:trPr>
        <w:trHeight w:val="345"/>
        <w:jc w:val="center"/>
      </w:trPr>
      <w:tc>
        <w:tcPr>
          <w:tcW w:w="6306" w:type="dxa"/>
          <w:vAlign w:val="center"/>
        </w:tcPr>
        <w:p w14:paraId="6053A920" w14:textId="77777777" w:rsidR="00107E19" w:rsidRDefault="00107E19">
          <w:pPr>
            <w:jc w:val="center"/>
            <w:rPr>
              <w:i/>
              <w:sz w:val="18"/>
              <w:szCs w:val="18"/>
            </w:rPr>
          </w:pPr>
        </w:p>
      </w:tc>
    </w:tr>
  </w:tbl>
  <w:p w14:paraId="0F5FBC08" w14:textId="77777777" w:rsidR="00107E19" w:rsidRDefault="00107E19">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7E19"/>
    <w:rsid w:val="00052FA1"/>
    <w:rsid w:val="00107E19"/>
    <w:rsid w:val="002A0903"/>
    <w:rsid w:val="00361C79"/>
    <w:rsid w:val="00521777"/>
    <w:rsid w:val="00582C51"/>
    <w:rsid w:val="006565F3"/>
    <w:rsid w:val="006A738B"/>
    <w:rsid w:val="006B05EC"/>
    <w:rsid w:val="006D06B8"/>
    <w:rsid w:val="008C33B5"/>
    <w:rsid w:val="009C5893"/>
    <w:rsid w:val="00A86D08"/>
    <w:rsid w:val="00B25151"/>
    <w:rsid w:val="00B85A48"/>
    <w:rsid w:val="00BF385F"/>
    <w:rsid w:val="00C35B7C"/>
    <w:rsid w:val="00D21222"/>
    <w:rsid w:val="00DC6B78"/>
    <w:rsid w:val="00DE1862"/>
    <w:rsid w:val="00E10CC5"/>
    <w:rsid w:val="00E45A7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2FB9B5"/>
  <w15:docId w15:val="{7F880BCA-0323-554F-9993-C21C72D5FD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table" w:styleId="Tablaconcuadrcula">
    <w:name w:val="Table Grid"/>
    <w:basedOn w:val="Tablanormal"/>
    <w:uiPriority w:val="39"/>
    <w:rsid w:val="00C35B7C"/>
    <w:rPr>
      <w:rFonts w:asciiTheme="minorHAnsi" w:eastAsiaTheme="minorHAnsi" w:hAnsiTheme="minorHAnsi" w:cstheme="minorBidi"/>
      <w:kern w:val="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6A738B"/>
    <w:pPr>
      <w:spacing w:before="100" w:beforeAutospacing="1" w:after="100" w:afterAutospacing="1"/>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orcid.org/0000-0003-2605-5475" TargetMode="External"/><Relationship Id="rId12" Type="http://schemas.openxmlformats.org/officeDocument/2006/relationships/hyperlink" Target="https://doi.org/10.47606/ACVEN/PH0219"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cvc.cervantes.es/ENSENANZA/biblioteca_ele/marco/cvc_mer.pdf"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revistas.ustatunja.edu.co/index.php/shimmering/article/view/1802" TargetMode="External"/><Relationship Id="rId4" Type="http://schemas.openxmlformats.org/officeDocument/2006/relationships/webSettings" Target="webSettings.xml"/><Relationship Id="rId9" Type="http://schemas.openxmlformats.org/officeDocument/2006/relationships/hyperlink" Target="https://gerflint.fr/Base/Europe1/Claire.pdf" TargetMode="External"/><Relationship Id="rId14" Type="http://schemas.openxmlformats.org/officeDocument/2006/relationships/glossaryDocument" Target="glossary/document.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AD90FFA813B3A45B91DDFA591107C99"/>
        <w:category>
          <w:name w:val="General"/>
          <w:gallery w:val="placeholder"/>
        </w:category>
        <w:types>
          <w:type w:val="bbPlcHdr"/>
        </w:types>
        <w:behaviors>
          <w:behavior w:val="content"/>
        </w:behaviors>
        <w:guid w:val="{C69B32A9-E0FF-2E43-B3F3-7CF25964A315}"/>
      </w:docPartPr>
      <w:docPartBody>
        <w:p w:rsidR="00F62B4B" w:rsidRDefault="00EB1E13" w:rsidP="00EB1E13">
          <w:pPr>
            <w:pStyle w:val="2AD90FFA813B3A45B91DDFA591107C99"/>
          </w:pPr>
          <w:r w:rsidRPr="005C69CF">
            <w:rPr>
              <w:rStyle w:val="Textodelmarcadordeposicin"/>
            </w:rPr>
            <w:t>Formatting...</w:t>
          </w:r>
        </w:p>
      </w:docPartBody>
    </w:docPart>
    <w:docPart>
      <w:docPartPr>
        <w:name w:val="A4B1DC6CA0384C4181DB6FE64680A02E"/>
        <w:category>
          <w:name w:val="General"/>
          <w:gallery w:val="placeholder"/>
        </w:category>
        <w:types>
          <w:type w:val="bbPlcHdr"/>
        </w:types>
        <w:behaviors>
          <w:behavior w:val="content"/>
        </w:behaviors>
        <w:guid w:val="{12FB883F-6FC8-A940-86F8-57F724312433}"/>
      </w:docPartPr>
      <w:docPartBody>
        <w:p w:rsidR="00F62B4B" w:rsidRDefault="00EB1E13" w:rsidP="00EB1E13">
          <w:pPr>
            <w:pStyle w:val="A4B1DC6CA0384C4181DB6FE64680A02E"/>
          </w:pPr>
          <w:r w:rsidRPr="0015205B">
            <w:rPr>
              <w:rStyle w:val="Textodelmarcadordeposicin"/>
            </w:rPr>
            <w:t>Formatting...</w:t>
          </w:r>
        </w:p>
      </w:docPartBody>
    </w:docPart>
    <w:docPart>
      <w:docPartPr>
        <w:name w:val="3288C04CE634AC43A3BF9082716A69A4"/>
        <w:category>
          <w:name w:val="General"/>
          <w:gallery w:val="placeholder"/>
        </w:category>
        <w:types>
          <w:type w:val="bbPlcHdr"/>
        </w:types>
        <w:behaviors>
          <w:behavior w:val="content"/>
        </w:behaviors>
        <w:guid w:val="{2EA11395-0D20-9946-961F-1459EE66E890}"/>
      </w:docPartPr>
      <w:docPartBody>
        <w:p w:rsidR="00F62B4B" w:rsidRDefault="00EB1E13" w:rsidP="00EB1E13">
          <w:pPr>
            <w:pStyle w:val="3288C04CE634AC43A3BF9082716A69A4"/>
          </w:pPr>
          <w:r w:rsidRPr="008270ED">
            <w:rPr>
              <w:rStyle w:val="Textodelmarcadordeposicin"/>
            </w:rPr>
            <w:t>Formatting...</w:t>
          </w:r>
        </w:p>
      </w:docPartBody>
    </w:docPart>
    <w:docPart>
      <w:docPartPr>
        <w:name w:val="04AB3F58DFB8E64F8E2198506A588B03"/>
        <w:category>
          <w:name w:val="General"/>
          <w:gallery w:val="placeholder"/>
        </w:category>
        <w:types>
          <w:type w:val="bbPlcHdr"/>
        </w:types>
        <w:behaviors>
          <w:behavior w:val="content"/>
        </w:behaviors>
        <w:guid w:val="{B2296961-FB81-3845-B3AA-4D34F4962E61}"/>
      </w:docPartPr>
      <w:docPartBody>
        <w:p w:rsidR="00F62B4B" w:rsidRDefault="00EB1E13" w:rsidP="00EB1E13">
          <w:pPr>
            <w:pStyle w:val="04AB3F58DFB8E64F8E2198506A588B03"/>
          </w:pPr>
          <w:r w:rsidRPr="008270ED">
            <w:rPr>
              <w:rStyle w:val="Textodelmarcadordeposicin"/>
            </w:rPr>
            <w:t>Formatting...</w:t>
          </w:r>
        </w:p>
      </w:docPartBody>
    </w:docPart>
    <w:docPart>
      <w:docPartPr>
        <w:name w:val="3C0C88E7D3F01E458CB44EA92BF1B053"/>
        <w:category>
          <w:name w:val="General"/>
          <w:gallery w:val="placeholder"/>
        </w:category>
        <w:types>
          <w:type w:val="bbPlcHdr"/>
        </w:types>
        <w:behaviors>
          <w:behavior w:val="content"/>
        </w:behaviors>
        <w:guid w:val="{07827DDA-AE95-C142-9C12-0EC7794EEBF9}"/>
      </w:docPartPr>
      <w:docPartBody>
        <w:p w:rsidR="00F62B4B" w:rsidRDefault="00EB1E13" w:rsidP="00EB1E13">
          <w:pPr>
            <w:pStyle w:val="3C0C88E7D3F01E458CB44EA92BF1B053"/>
          </w:pPr>
          <w:r w:rsidRPr="0015205B">
            <w:rPr>
              <w:rStyle w:val="Textodelmarcadordeposicin"/>
            </w:rPr>
            <w:t>Formatting...</w:t>
          </w:r>
        </w:p>
      </w:docPartBody>
    </w:docPart>
    <w:docPart>
      <w:docPartPr>
        <w:name w:val="EB3B9346D3D4C6428B965360E9ACA50C"/>
        <w:category>
          <w:name w:val="General"/>
          <w:gallery w:val="placeholder"/>
        </w:category>
        <w:types>
          <w:type w:val="bbPlcHdr"/>
        </w:types>
        <w:behaviors>
          <w:behavior w:val="content"/>
        </w:behaviors>
        <w:guid w:val="{98CD2095-A2F3-4A42-9888-F7C11360D883}"/>
      </w:docPartPr>
      <w:docPartBody>
        <w:p w:rsidR="00F62B4B" w:rsidRDefault="00EB1E13" w:rsidP="00EB1E13">
          <w:pPr>
            <w:pStyle w:val="EB3B9346D3D4C6428B965360E9ACA50C"/>
          </w:pPr>
          <w:r w:rsidRPr="005C69CF">
            <w:rPr>
              <w:rStyle w:val="Textodelmarcadordeposicin"/>
            </w:rPr>
            <w:t>Formatting...</w:t>
          </w:r>
        </w:p>
      </w:docPartBody>
    </w:docPart>
    <w:docPart>
      <w:docPartPr>
        <w:name w:val="2BA0CA3AD67DF441A1A140F289C91447"/>
        <w:category>
          <w:name w:val="General"/>
          <w:gallery w:val="placeholder"/>
        </w:category>
        <w:types>
          <w:type w:val="bbPlcHdr"/>
        </w:types>
        <w:behaviors>
          <w:behavior w:val="content"/>
        </w:behaviors>
        <w:guid w:val="{D131FA5A-FF53-1643-A687-8FC571F20E3F}"/>
      </w:docPartPr>
      <w:docPartBody>
        <w:p w:rsidR="00F62B4B" w:rsidRDefault="00EB1E13" w:rsidP="00EB1E13">
          <w:pPr>
            <w:pStyle w:val="2BA0CA3AD67DF441A1A140F289C91447"/>
          </w:pPr>
          <w:r w:rsidRPr="005C69CF">
            <w:rPr>
              <w:rStyle w:val="Textodelmarcadordeposicin"/>
            </w:rPr>
            <w:t>Formatting...</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Roboto">
    <w:panose1 w:val="02000000000000000000"/>
    <w:charset w:val="00"/>
    <w:family w:val="auto"/>
    <w:pitch w:val="variable"/>
    <w:sig w:usb0="E0000AFF" w:usb1="5000217F" w:usb2="00000021" w:usb3="00000000" w:csb0="0000019F" w:csb1="00000000"/>
  </w:font>
  <w:font w:name="Calibri Light">
    <w:panose1 w:val="020F0302020204030204"/>
    <w:charset w:val="00"/>
    <w:family w:val="swiss"/>
    <w:pitch w:val="variable"/>
    <w:sig w:usb0="E4002E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1E13"/>
    <w:rsid w:val="004D0F59"/>
    <w:rsid w:val="006B05EC"/>
    <w:rsid w:val="00C462B6"/>
    <w:rsid w:val="00E01EAE"/>
    <w:rsid w:val="00E9455B"/>
    <w:rsid w:val="00EB1E13"/>
    <w:rsid w:val="00F62B4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MX" w:eastAsia="es-MX"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EB1E13"/>
    <w:rPr>
      <w:color w:val="666666"/>
    </w:rPr>
  </w:style>
  <w:style w:type="paragraph" w:customStyle="1" w:styleId="2AD90FFA813B3A45B91DDFA591107C99">
    <w:name w:val="2AD90FFA813B3A45B91DDFA591107C99"/>
    <w:rsid w:val="00EB1E13"/>
  </w:style>
  <w:style w:type="paragraph" w:customStyle="1" w:styleId="A4B1DC6CA0384C4181DB6FE64680A02E">
    <w:name w:val="A4B1DC6CA0384C4181DB6FE64680A02E"/>
    <w:rsid w:val="00EB1E13"/>
  </w:style>
  <w:style w:type="paragraph" w:customStyle="1" w:styleId="3288C04CE634AC43A3BF9082716A69A4">
    <w:name w:val="3288C04CE634AC43A3BF9082716A69A4"/>
    <w:rsid w:val="00EB1E13"/>
  </w:style>
  <w:style w:type="paragraph" w:customStyle="1" w:styleId="04AB3F58DFB8E64F8E2198506A588B03">
    <w:name w:val="04AB3F58DFB8E64F8E2198506A588B03"/>
    <w:rsid w:val="00EB1E13"/>
  </w:style>
  <w:style w:type="paragraph" w:customStyle="1" w:styleId="3C0C88E7D3F01E458CB44EA92BF1B053">
    <w:name w:val="3C0C88E7D3F01E458CB44EA92BF1B053"/>
    <w:rsid w:val="00EB1E13"/>
  </w:style>
  <w:style w:type="paragraph" w:customStyle="1" w:styleId="EB3B9346D3D4C6428B965360E9ACA50C">
    <w:name w:val="EB3B9346D3D4C6428B965360E9ACA50C"/>
    <w:rsid w:val="00EB1E13"/>
  </w:style>
  <w:style w:type="paragraph" w:customStyle="1" w:styleId="2BA0CA3AD67DF441A1A140F289C91447">
    <w:name w:val="2BA0CA3AD67DF441A1A140F289C91447"/>
    <w:rsid w:val="00EB1E1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2</Pages>
  <Words>1409</Words>
  <Characters>8540</Characters>
  <Application>Microsoft Office Word</Application>
  <DocSecurity>0</DocSecurity>
  <Lines>185</Lines>
  <Paragraphs>96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Joel Iglesias Marrero</cp:lastModifiedBy>
  <cp:revision>9</cp:revision>
  <dcterms:created xsi:type="dcterms:W3CDTF">2026-01-14T14:53:00Z</dcterms:created>
  <dcterms:modified xsi:type="dcterms:W3CDTF">2026-02-26T00:42:00Z</dcterms:modified>
</cp:coreProperties>
</file>