
<file path=[Content_Types].xml><?xml version="1.0" encoding="utf-8"?>
<Types xmlns="http://schemas.openxmlformats.org/package/2006/content-types">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17C06F7" w14:textId="65DF3A54" w:rsidR="00D75F98" w:rsidRDefault="00D75F98" w:rsidP="009C725F">
      <w:pPr>
        <w:spacing w:after="160" w:line="256" w:lineRule="auto"/>
        <w:jc w:val="center"/>
        <w:rPr>
          <w:rFonts w:ascii="Roboto" w:eastAsiaTheme="minorHAnsi" w:hAnsi="Roboto"/>
          <w:b/>
          <w:lang w:eastAsia="en-US"/>
        </w:rPr>
      </w:pPr>
      <w:r w:rsidRPr="009E22B6">
        <w:rPr>
          <w:rFonts w:ascii="Roboto" w:eastAsiaTheme="minorHAnsi" w:hAnsi="Roboto"/>
          <w:b/>
          <w:lang w:eastAsia="en-US"/>
        </w:rPr>
        <w:t>M</w:t>
      </w:r>
      <w:r w:rsidRPr="009E22B6">
        <w:rPr>
          <w:rFonts w:ascii="Roboto" w:eastAsiaTheme="minorHAnsi" w:hAnsi="Roboto"/>
          <w:b/>
          <w:lang w:eastAsia="en-US"/>
        </w:rPr>
        <w:t>aíz, frijol y chile: primeras aproximaciones sobre la alimentación del ejército mexica durante las campañas militares.</w:t>
      </w:r>
    </w:p>
    <w:p w14:paraId="62FF6247" w14:textId="24F9BC3E" w:rsidR="009E22B6" w:rsidRPr="00D75F98" w:rsidRDefault="009E22B6" w:rsidP="00D75F98">
      <w:pPr>
        <w:spacing w:after="160" w:line="256" w:lineRule="auto"/>
        <w:jc w:val="center"/>
        <w:rPr>
          <w:rFonts w:ascii="Roboto" w:eastAsiaTheme="minorHAnsi" w:hAnsi="Roboto"/>
          <w:b/>
          <w:sz w:val="20"/>
          <w:szCs w:val="20"/>
          <w:lang w:eastAsia="en-US"/>
        </w:rPr>
      </w:pPr>
      <w:r w:rsidRPr="009E22B6">
        <w:rPr>
          <w:rFonts w:ascii="Roboto" w:eastAsiaTheme="minorHAnsi" w:hAnsi="Roboto"/>
          <w:b/>
          <w:sz w:val="20"/>
          <w:szCs w:val="20"/>
          <w:lang w:eastAsia="en-US"/>
        </w:rPr>
        <w:t xml:space="preserve">Cervera-Obregón-MA. </w:t>
      </w:r>
    </w:p>
    <w:p w14:paraId="5E23F550" w14:textId="77777777" w:rsidR="00D75F98" w:rsidRPr="00D75F98" w:rsidRDefault="00D75F98" w:rsidP="00D75F98">
      <w:pPr>
        <w:pBdr>
          <w:top w:val="nil"/>
          <w:left w:val="nil"/>
          <w:bottom w:val="nil"/>
          <w:right w:val="nil"/>
          <w:between w:val="nil"/>
        </w:pBdr>
        <w:jc w:val="center"/>
        <w:rPr>
          <w:rFonts w:ascii="Roboto" w:eastAsia="Roboto" w:hAnsi="Roboto" w:cs="Roboto"/>
          <w:color w:val="000000"/>
          <w:sz w:val="18"/>
          <w:szCs w:val="18"/>
          <w:vertAlign w:val="superscript"/>
        </w:rPr>
      </w:pPr>
      <w:r w:rsidRPr="00D75F98">
        <w:rPr>
          <w:rFonts w:ascii="Roboto" w:eastAsia="Roboto" w:hAnsi="Roboto" w:cs="Roboto"/>
          <w:color w:val="000000"/>
          <w:sz w:val="18"/>
          <w:szCs w:val="18"/>
          <w:vertAlign w:val="superscript"/>
        </w:rPr>
        <w:t>1</w:t>
      </w:r>
      <w:r w:rsidRPr="00D75F98">
        <w:rPr>
          <w:rFonts w:ascii="Roboto" w:eastAsia="Roboto" w:hAnsi="Roboto" w:cs="Roboto"/>
          <w:color w:val="000000"/>
          <w:sz w:val="18"/>
          <w:szCs w:val="18"/>
        </w:rPr>
        <w:t>Universidad Anáhuac México, https://orcid.org/0000-0001-7478-8249</w:t>
      </w:r>
    </w:p>
    <w:p w14:paraId="2486F81F" w14:textId="77777777" w:rsidR="00D75F98" w:rsidRPr="00D75F98" w:rsidRDefault="00D75F98" w:rsidP="00D75F98">
      <w:pPr>
        <w:jc w:val="center"/>
        <w:rPr>
          <w:rFonts w:ascii="Roboto" w:eastAsia="Roboto" w:hAnsi="Roboto" w:cs="Roboto"/>
          <w:sz w:val="18"/>
          <w:szCs w:val="18"/>
        </w:rPr>
      </w:pPr>
    </w:p>
    <w:p w14:paraId="68E992FA" w14:textId="77777777" w:rsidR="00D75F98" w:rsidRPr="00D75F98" w:rsidRDefault="00D75F98" w:rsidP="00D75F98">
      <w:pPr>
        <w:jc w:val="center"/>
        <w:rPr>
          <w:rFonts w:ascii="Roboto" w:eastAsia="Roboto" w:hAnsi="Roboto" w:cs="Roboto"/>
          <w:sz w:val="18"/>
          <w:szCs w:val="18"/>
        </w:rPr>
      </w:pPr>
      <w:r w:rsidRPr="00D75F98">
        <w:rPr>
          <w:rFonts w:ascii="Roboto" w:eastAsia="Roboto" w:hAnsi="Roboto" w:cs="Roboto"/>
          <w:sz w:val="18"/>
          <w:szCs w:val="18"/>
        </w:rPr>
        <w:t>*Marco Antonio Cervera Obregón (</w:t>
      </w:r>
      <w:hyperlink r:id="rId7" w:history="1">
        <w:r w:rsidRPr="00D75F98">
          <w:rPr>
            <w:rFonts w:ascii="Roboto" w:eastAsia="Roboto" w:hAnsi="Roboto" w:cs="Roboto"/>
            <w:color w:val="0563C1" w:themeColor="hyperlink"/>
            <w:sz w:val="18"/>
            <w:szCs w:val="18"/>
            <w:u w:val="single"/>
          </w:rPr>
          <w:t>marco.cervera@anahuac.mx</w:t>
        </w:r>
      </w:hyperlink>
      <w:r w:rsidRPr="00D75F98">
        <w:rPr>
          <w:rFonts w:ascii="Roboto" w:eastAsia="Roboto" w:hAnsi="Roboto" w:cs="Roboto"/>
          <w:sz w:val="18"/>
          <w:szCs w:val="18"/>
        </w:rPr>
        <w:t>)</w:t>
      </w:r>
    </w:p>
    <w:p w14:paraId="63B8793A" w14:textId="77777777" w:rsidR="00D75F98" w:rsidRPr="00D75F98" w:rsidRDefault="00D75F98" w:rsidP="00D75F98">
      <w:pPr>
        <w:jc w:val="center"/>
        <w:rPr>
          <w:rFonts w:ascii="Roboto" w:eastAsia="Roboto" w:hAnsi="Roboto" w:cs="Roboto"/>
          <w:sz w:val="18"/>
          <w:szCs w:val="18"/>
        </w:rPr>
      </w:pPr>
    </w:p>
    <w:p w14:paraId="70C75B64" w14:textId="77777777" w:rsidR="00107E19" w:rsidRDefault="00F524CB">
      <w:pPr>
        <w:spacing w:before="60"/>
        <w:jc w:val="center"/>
        <w:rPr>
          <w:rFonts w:ascii="Roboto" w:eastAsia="Roboto" w:hAnsi="Roboto" w:cs="Roboto"/>
          <w:sz w:val="18"/>
          <w:szCs w:val="18"/>
        </w:rPr>
        <w:sectPr w:rsidR="00107E19">
          <w:headerReference w:type="default" r:id="rId8"/>
          <w:pgSz w:w="11906" w:h="16838"/>
          <w:pgMar w:top="851" w:right="851" w:bottom="828" w:left="851" w:header="357" w:footer="720" w:gutter="0"/>
          <w:pgNumType w:start="1"/>
          <w:cols w:space="720"/>
        </w:sectPr>
      </w:pPr>
      <w:r>
        <w:rPr>
          <w:noProof/>
        </w:rPr>
        <w:pict w14:anchorId="1A8FF0A0">
          <v:rect id="_x0000_i1031" alt="" style="width:441.9pt;height:.05pt;mso-width-percent:0;mso-height-percent:0;mso-width-percent:0;mso-height-percent:0" o:hralign="center" o:hrstd="t" o:hr="t" fillcolor="#a0a0a0" stroked="f"/>
        </w:pict>
      </w:r>
    </w:p>
    <w:p w14:paraId="67A94076" w14:textId="49CAA309" w:rsidR="00F3570E" w:rsidRPr="00486348" w:rsidRDefault="00F3570E" w:rsidP="00F3570E">
      <w:pPr>
        <w:ind w:firstLine="284"/>
        <w:jc w:val="both"/>
        <w:rPr>
          <w:rFonts w:ascii="Roboto" w:eastAsia="Roboto" w:hAnsi="Roboto" w:cs="Roboto"/>
          <w:color w:val="000000"/>
          <w:sz w:val="20"/>
          <w:szCs w:val="20"/>
        </w:rPr>
      </w:pPr>
      <w:r w:rsidRPr="00486348">
        <w:rPr>
          <w:rFonts w:ascii="Roboto" w:eastAsia="Roboto" w:hAnsi="Roboto" w:cs="Roboto"/>
          <w:color w:val="000000"/>
          <w:sz w:val="20"/>
          <w:szCs w:val="20"/>
        </w:rPr>
        <w:t>La guerra mexica cumplía dos objetivos principales, por lo tanto, se desarrollaban dos tipos de campaña distintas: la guerra de conquista y la guerra florida. Esta última es la que más controversias, confusiones e incluso discusiones ha generado. En el presente trabajo no nos daremos a la tarea de desarrollar los diversos postulados sobre la misma, pero en todo caso hablaremos de las guerras de conquista con fines realmente expansionistas; de ellas recuperamos la información de la logística y avituallamiento.</w:t>
      </w:r>
    </w:p>
    <w:p w14:paraId="631AD358" w14:textId="2A892A9E" w:rsidR="00F3570E" w:rsidRPr="00486348" w:rsidRDefault="00F3570E" w:rsidP="00F3570E">
      <w:pPr>
        <w:ind w:firstLine="284"/>
        <w:jc w:val="both"/>
        <w:rPr>
          <w:rFonts w:ascii="Roboto" w:eastAsia="Roboto" w:hAnsi="Roboto" w:cs="Roboto"/>
          <w:color w:val="000000"/>
          <w:sz w:val="20"/>
          <w:szCs w:val="20"/>
        </w:rPr>
      </w:pPr>
      <w:r w:rsidRPr="00486348">
        <w:rPr>
          <w:rFonts w:ascii="Roboto" w:eastAsia="Roboto" w:hAnsi="Roboto" w:cs="Roboto"/>
          <w:color w:val="000000"/>
          <w:sz w:val="20"/>
          <w:szCs w:val="20"/>
        </w:rPr>
        <w:t xml:space="preserve">Contamos con la suficiente información para establecer el nivel de organización social y militar con el que contaba el Imperio mexica </w:t>
      </w:r>
      <w:r w:rsidR="001B3B05">
        <w:rPr>
          <w:rFonts w:ascii="Roboto" w:eastAsia="Roboto" w:hAnsi="Roboto" w:cs="Roboto"/>
          <w:color w:val="000000"/>
          <w:sz w:val="20"/>
          <w:szCs w:val="20"/>
        </w:rPr>
        <w:t xml:space="preserve">(Cervera, 2011), </w:t>
      </w:r>
      <w:r w:rsidRPr="00486348">
        <w:rPr>
          <w:rFonts w:ascii="Roboto" w:eastAsia="Roboto" w:hAnsi="Roboto" w:cs="Roboto"/>
          <w:color w:val="000000"/>
          <w:sz w:val="20"/>
          <w:szCs w:val="20"/>
        </w:rPr>
        <w:t xml:space="preserve">y, por tanto, poder comprender cómo el Estado mexica tenía la suficiente capacidad operativa para la creación de estrategias y logística militares inteligentes y de gran complejidad, con la movilización de gran cantidad de tropas e insumos de guerra, lo que incluye, evidentemente, toneladas de alimentos necesarios para las campañas. </w:t>
      </w:r>
    </w:p>
    <w:p w14:paraId="172AC710" w14:textId="77777777" w:rsidR="00F3570E" w:rsidRPr="00486348" w:rsidRDefault="00F3570E" w:rsidP="00F3570E">
      <w:pPr>
        <w:ind w:firstLine="284"/>
        <w:jc w:val="both"/>
        <w:rPr>
          <w:rFonts w:ascii="Roboto" w:eastAsia="Roboto" w:hAnsi="Roboto" w:cs="Roboto"/>
          <w:color w:val="000000"/>
          <w:sz w:val="20"/>
          <w:szCs w:val="20"/>
        </w:rPr>
      </w:pPr>
      <w:r w:rsidRPr="00486348">
        <w:rPr>
          <w:rFonts w:ascii="Roboto" w:eastAsia="Roboto" w:hAnsi="Roboto" w:cs="Roboto"/>
          <w:color w:val="000000"/>
          <w:sz w:val="20"/>
          <w:szCs w:val="20"/>
        </w:rPr>
        <w:t>Esto significa que, cuando el Estado mexica lo requería, se convocaba a toda la burocracia y sistemas de mando del ejército, para llevar a cabo la estrategia, logística, acumulación y distribución de pertrechos y avituallamientos; incluso existía un sistema de inteligencia a partir de espías con los pochtecas y otros grupos que servían de avanzada al ejército, brindando información útil para preparar el terreno para el despliegue de tropas. Sus servicios estratégicos contaban con versiones rudimentarias de lo que hoy llamamos mapas topográficos para ubicar las rutas del despliegue de tropas, campamentos, distribución de armamento, y todos los insumos de guerra necesarios. [Sahagún 1997: 469].</w:t>
      </w:r>
    </w:p>
    <w:p w14:paraId="5F238076" w14:textId="77777777" w:rsidR="00F3570E" w:rsidRPr="00486348" w:rsidRDefault="00F3570E" w:rsidP="00F3570E">
      <w:pPr>
        <w:ind w:firstLine="284"/>
        <w:jc w:val="both"/>
        <w:rPr>
          <w:rFonts w:ascii="Roboto" w:eastAsia="Roboto" w:hAnsi="Roboto" w:cs="Roboto"/>
          <w:color w:val="000000"/>
          <w:sz w:val="20"/>
          <w:szCs w:val="20"/>
        </w:rPr>
      </w:pPr>
      <w:r w:rsidRPr="00486348">
        <w:rPr>
          <w:rFonts w:ascii="Roboto" w:eastAsia="Roboto" w:hAnsi="Roboto" w:cs="Roboto"/>
          <w:color w:val="000000"/>
          <w:sz w:val="20"/>
          <w:szCs w:val="20"/>
        </w:rPr>
        <w:t>Partiendo de esta base sólida del conocimiento de la guerra mexica, nos preguntamos cuáles eran los insumos alimenticios necesarios para el sostenimiento adecuado de una campaña militar en el Imperio mexica. Existe una visión equivocada en el escenario mesoamericano de que las guerras eran dependientes del calendario agrícola, en gran medida por las vinculaciones religiosas que ello representaba, y en las cuales no pretendemos ahondar en este trabajo, y, por otro lado, por la lógica de que el grueso de las tropas eran realmente campesinos armados, que debían cultivar las tierras y generar los suministros alimenticios a la ciudad. Existe parte de razón en lo referente al número de tropas disponibles para las campañas, pero es lo que al aprovisionamiento de los alimentos se refiere.</w:t>
      </w:r>
    </w:p>
    <w:p w14:paraId="70040BED" w14:textId="5B0AD26A" w:rsidR="00F3570E" w:rsidRPr="00486348" w:rsidRDefault="00F3570E" w:rsidP="00F3570E">
      <w:pPr>
        <w:ind w:firstLine="284"/>
        <w:jc w:val="both"/>
        <w:rPr>
          <w:rFonts w:ascii="Roboto" w:eastAsia="Roboto" w:hAnsi="Roboto" w:cs="Roboto"/>
          <w:color w:val="000000"/>
          <w:sz w:val="20"/>
          <w:szCs w:val="20"/>
        </w:rPr>
      </w:pPr>
      <w:r w:rsidRPr="00486348">
        <w:rPr>
          <w:rFonts w:ascii="Roboto" w:eastAsia="Roboto" w:hAnsi="Roboto" w:cs="Roboto"/>
          <w:color w:val="000000"/>
          <w:sz w:val="20"/>
          <w:szCs w:val="20"/>
        </w:rPr>
        <w:t xml:space="preserve">Esta propuesta fue originalmente desarrollada como una hipótesis por Ross </w:t>
      </w:r>
      <w:proofErr w:type="spellStart"/>
      <w:r w:rsidRPr="00486348">
        <w:rPr>
          <w:rFonts w:ascii="Roboto" w:eastAsia="Roboto" w:hAnsi="Roboto" w:cs="Roboto"/>
          <w:color w:val="000000"/>
          <w:sz w:val="20"/>
          <w:szCs w:val="20"/>
        </w:rPr>
        <w:t>Hassig</w:t>
      </w:r>
      <w:proofErr w:type="spellEnd"/>
      <w:r w:rsidRPr="00486348">
        <w:rPr>
          <w:rFonts w:ascii="Roboto" w:eastAsia="Roboto" w:hAnsi="Roboto" w:cs="Roboto"/>
          <w:color w:val="000000"/>
          <w:sz w:val="20"/>
          <w:szCs w:val="20"/>
        </w:rPr>
        <w:t xml:space="preserve">, pero con un sustento discutible que ahora ponemos en tela de juicio, ya que el Dr. </w:t>
      </w:r>
      <w:proofErr w:type="spellStart"/>
      <w:r w:rsidRPr="00486348">
        <w:rPr>
          <w:rFonts w:ascii="Roboto" w:eastAsia="Roboto" w:hAnsi="Roboto" w:cs="Roboto"/>
          <w:color w:val="000000"/>
          <w:sz w:val="20"/>
          <w:szCs w:val="20"/>
        </w:rPr>
        <w:t>Hassig</w:t>
      </w:r>
      <w:proofErr w:type="spellEnd"/>
      <w:r w:rsidRPr="00486348">
        <w:rPr>
          <w:rFonts w:ascii="Roboto" w:eastAsia="Roboto" w:hAnsi="Roboto" w:cs="Roboto"/>
          <w:color w:val="000000"/>
          <w:sz w:val="20"/>
          <w:szCs w:val="20"/>
        </w:rPr>
        <w:t xml:space="preserve"> se basa en una serie de estadísticas de producción de maíz de los años sesenta, para generar dichas propuestas. Hasta el momento, sin embargo, no tenemos una fuente primaria que sustente tales aseveraciones.  En el contexto académico tomaron por cierto dichas hipótesis, sin realmente conocer los fundamentos de las mismas; además estas ideas han servido para esgrimir otras hipótesis en el mismo sentido, que al final pierde, igualmente, todo el sustento.</w:t>
      </w:r>
    </w:p>
    <w:p w14:paraId="664A73DD" w14:textId="77777777" w:rsidR="00F3570E" w:rsidRPr="00486348" w:rsidRDefault="00F3570E" w:rsidP="00F3570E">
      <w:pPr>
        <w:ind w:firstLine="284"/>
        <w:jc w:val="both"/>
        <w:rPr>
          <w:rFonts w:ascii="Roboto" w:eastAsia="Roboto" w:hAnsi="Roboto" w:cs="Roboto"/>
          <w:color w:val="000000"/>
          <w:sz w:val="20"/>
          <w:szCs w:val="20"/>
        </w:rPr>
      </w:pPr>
      <w:r w:rsidRPr="00486348">
        <w:rPr>
          <w:rFonts w:ascii="Roboto" w:eastAsia="Roboto" w:hAnsi="Roboto" w:cs="Roboto"/>
          <w:color w:val="000000"/>
          <w:sz w:val="20"/>
          <w:szCs w:val="20"/>
        </w:rPr>
        <w:t xml:space="preserve">Resulta lógico hallar la falsedad en dichos argumentos si pensamos que, en realidad, el imperio mexica estaba en una suerte de “estado de guerra” permanente: los conflictos floridos, las guerras de expansión y las constantes rebeliones que debían ser sofocadas; así, no habría sido nada estratégico para el imperio el poder mantener estas condiciones si su nivel de operatividad hubiese estado limitado únicamente a los ciclos y calendarios agrícolas. </w:t>
      </w:r>
    </w:p>
    <w:p w14:paraId="514BCD5C" w14:textId="77777777" w:rsidR="00F3570E" w:rsidRPr="00486348" w:rsidRDefault="00F3570E" w:rsidP="00F3570E">
      <w:pPr>
        <w:jc w:val="both"/>
        <w:rPr>
          <w:rFonts w:ascii="Roboto" w:eastAsia="Roboto" w:hAnsi="Roboto" w:cs="Roboto"/>
          <w:color w:val="000000"/>
          <w:sz w:val="20"/>
          <w:szCs w:val="20"/>
        </w:rPr>
      </w:pPr>
      <w:r w:rsidRPr="00486348">
        <w:rPr>
          <w:rFonts w:ascii="Roboto" w:eastAsia="Roboto" w:hAnsi="Roboto" w:cs="Roboto"/>
          <w:color w:val="000000"/>
          <w:sz w:val="20"/>
          <w:szCs w:val="20"/>
        </w:rPr>
        <w:t xml:space="preserve">Los mexicas contaban con un suficiente y estratégico suministro de tropas y alimentos para sostener dicho estado de guerra permanente: por un lado, la cantidad de alimentos procedentes de la producción interna; por el otro, el gran número de alimentos que llegaba de la tributación, de la que ya hablamos líneas atrás, y, finalmente, los alimentos que llegaban de los aliados y de las estrategias militares de aprovisionamiento que discutiremos en las siguientes líneas. </w:t>
      </w:r>
    </w:p>
    <w:p w14:paraId="641227B9" w14:textId="77777777" w:rsidR="00F3570E" w:rsidRPr="00486348" w:rsidRDefault="00F3570E" w:rsidP="00F3570E">
      <w:pPr>
        <w:jc w:val="both"/>
        <w:rPr>
          <w:rFonts w:ascii="Roboto" w:eastAsia="Roboto" w:hAnsi="Roboto" w:cs="Roboto"/>
          <w:color w:val="000000"/>
          <w:sz w:val="20"/>
          <w:szCs w:val="20"/>
        </w:rPr>
      </w:pPr>
      <w:r w:rsidRPr="00486348">
        <w:rPr>
          <w:rFonts w:ascii="Roboto" w:eastAsia="Roboto" w:hAnsi="Roboto" w:cs="Roboto"/>
          <w:color w:val="000000"/>
          <w:sz w:val="20"/>
          <w:szCs w:val="20"/>
        </w:rPr>
        <w:t xml:space="preserve">Por lo tanto, consideramos falsa la idea de que la guerra mexica estaba supeditada a los calendarios agrícolas y, como una consecuencia de ello, los mexicas debían idear estrategias inteligentes y viables para mantener una guerra durante todo el tiempo que duró su etapa imperial, por lo menos desde 1428, a la llegada de los hispanos en 1519. </w:t>
      </w:r>
    </w:p>
    <w:p w14:paraId="278AD43A" w14:textId="4D100EB1" w:rsidR="00F3570E" w:rsidRPr="00486348" w:rsidRDefault="00F3570E" w:rsidP="00F3570E">
      <w:pPr>
        <w:ind w:firstLine="284"/>
        <w:jc w:val="both"/>
        <w:rPr>
          <w:rFonts w:ascii="Roboto" w:eastAsia="Roboto" w:hAnsi="Roboto" w:cs="Roboto"/>
          <w:color w:val="000000"/>
          <w:sz w:val="20"/>
          <w:szCs w:val="20"/>
        </w:rPr>
      </w:pPr>
      <w:r w:rsidRPr="00486348">
        <w:rPr>
          <w:rFonts w:ascii="Roboto" w:eastAsia="Roboto" w:hAnsi="Roboto" w:cs="Roboto"/>
          <w:color w:val="000000"/>
          <w:sz w:val="20"/>
          <w:szCs w:val="20"/>
        </w:rPr>
        <w:t xml:space="preserve">Una frase de Alvarado </w:t>
      </w:r>
      <w:proofErr w:type="spellStart"/>
      <w:r w:rsidRPr="00486348">
        <w:rPr>
          <w:rFonts w:ascii="Roboto" w:eastAsia="Roboto" w:hAnsi="Roboto" w:cs="Roboto"/>
          <w:color w:val="000000"/>
          <w:sz w:val="20"/>
          <w:szCs w:val="20"/>
        </w:rPr>
        <w:t>Tezozomoc</w:t>
      </w:r>
      <w:proofErr w:type="spellEnd"/>
      <w:r w:rsidRPr="00486348">
        <w:rPr>
          <w:rFonts w:ascii="Roboto" w:eastAsia="Roboto" w:hAnsi="Roboto" w:cs="Roboto"/>
          <w:color w:val="000000"/>
          <w:sz w:val="20"/>
          <w:szCs w:val="20"/>
        </w:rPr>
        <w:t xml:space="preserve"> reafirma esta postura al decir: </w:t>
      </w:r>
      <w:proofErr w:type="gramStart"/>
      <w:r w:rsidRPr="00486348">
        <w:rPr>
          <w:rFonts w:ascii="Roboto" w:eastAsia="Roboto" w:hAnsi="Roboto" w:cs="Roboto"/>
          <w:color w:val="000000"/>
          <w:sz w:val="20"/>
          <w:szCs w:val="20"/>
        </w:rPr>
        <w:t>“ Y</w:t>
      </w:r>
      <w:proofErr w:type="gramEnd"/>
      <w:r w:rsidRPr="00486348">
        <w:rPr>
          <w:rFonts w:ascii="Roboto" w:eastAsia="Roboto" w:hAnsi="Roboto" w:cs="Roboto"/>
          <w:color w:val="000000"/>
          <w:sz w:val="20"/>
          <w:szCs w:val="20"/>
        </w:rPr>
        <w:t xml:space="preserve"> nunca jamás estos mexicanos </w:t>
      </w:r>
      <w:proofErr w:type="spellStart"/>
      <w:r w:rsidRPr="00486348">
        <w:rPr>
          <w:rFonts w:ascii="Roboto" w:eastAsia="Roboto" w:hAnsi="Roboto" w:cs="Roboto"/>
          <w:color w:val="000000"/>
          <w:sz w:val="20"/>
          <w:szCs w:val="20"/>
        </w:rPr>
        <w:t>quando</w:t>
      </w:r>
      <w:proofErr w:type="spellEnd"/>
      <w:r w:rsidRPr="00486348">
        <w:rPr>
          <w:rFonts w:ascii="Roboto" w:eastAsia="Roboto" w:hAnsi="Roboto" w:cs="Roboto"/>
          <w:color w:val="000000"/>
          <w:sz w:val="20"/>
          <w:szCs w:val="20"/>
        </w:rPr>
        <w:t xml:space="preserve"> </w:t>
      </w:r>
      <w:proofErr w:type="spellStart"/>
      <w:r w:rsidRPr="00486348">
        <w:rPr>
          <w:rFonts w:ascii="Roboto" w:eastAsia="Roboto" w:hAnsi="Roboto" w:cs="Roboto"/>
          <w:color w:val="000000"/>
          <w:sz w:val="20"/>
          <w:szCs w:val="20"/>
        </w:rPr>
        <w:t>caminauan</w:t>
      </w:r>
      <w:proofErr w:type="spellEnd"/>
      <w:r w:rsidRPr="00486348">
        <w:rPr>
          <w:rFonts w:ascii="Roboto" w:eastAsia="Roboto" w:hAnsi="Roboto" w:cs="Roboto"/>
          <w:color w:val="000000"/>
          <w:sz w:val="20"/>
          <w:szCs w:val="20"/>
        </w:rPr>
        <w:t xml:space="preserve"> para guerras jamás les faltó en los caminos bastimentos </w:t>
      </w:r>
      <w:proofErr w:type="spellStart"/>
      <w:r w:rsidRPr="00486348">
        <w:rPr>
          <w:rFonts w:ascii="Roboto" w:eastAsia="Roboto" w:hAnsi="Roboto" w:cs="Roboto"/>
          <w:color w:val="000000"/>
          <w:sz w:val="20"/>
          <w:szCs w:val="20"/>
        </w:rPr>
        <w:t>nengunos</w:t>
      </w:r>
      <w:proofErr w:type="spellEnd"/>
      <w:r w:rsidRPr="00486348">
        <w:rPr>
          <w:rFonts w:ascii="Roboto" w:eastAsia="Roboto" w:hAnsi="Roboto" w:cs="Roboto"/>
          <w:color w:val="000000"/>
          <w:sz w:val="20"/>
          <w:szCs w:val="20"/>
        </w:rPr>
        <w:t xml:space="preserve">, porque eran tan temidos de todos los pueblos” </w:t>
      </w:r>
    </w:p>
    <w:p w14:paraId="13FC7DC1" w14:textId="77777777" w:rsidR="00F3570E" w:rsidRPr="00486348" w:rsidRDefault="00F3570E" w:rsidP="00F3570E">
      <w:pPr>
        <w:ind w:firstLine="284"/>
        <w:jc w:val="both"/>
        <w:rPr>
          <w:rFonts w:ascii="Roboto" w:eastAsia="Roboto" w:hAnsi="Roboto" w:cs="Roboto"/>
          <w:color w:val="000000"/>
          <w:sz w:val="20"/>
          <w:szCs w:val="20"/>
        </w:rPr>
      </w:pPr>
      <w:r w:rsidRPr="00486348">
        <w:rPr>
          <w:rFonts w:ascii="Roboto" w:eastAsia="Roboto" w:hAnsi="Roboto" w:cs="Roboto"/>
          <w:color w:val="000000"/>
          <w:sz w:val="20"/>
          <w:szCs w:val="20"/>
        </w:rPr>
        <w:t>Nuestra propuesta considera las siguientes hipótesis, en la cuales había un sistema estratégico en el suministro alimenticio de las campañas militares del imperio, y que están sustentadas en la información de las fuentes utilizadas.</w:t>
      </w:r>
    </w:p>
    <w:p w14:paraId="58710FEE" w14:textId="46EDE7F9" w:rsidR="00F3570E" w:rsidRPr="00486348" w:rsidRDefault="00F3570E" w:rsidP="00F3570E">
      <w:pPr>
        <w:ind w:firstLine="284"/>
        <w:jc w:val="both"/>
        <w:rPr>
          <w:rFonts w:ascii="Roboto" w:eastAsia="Roboto" w:hAnsi="Roboto" w:cs="Roboto"/>
          <w:color w:val="000000"/>
          <w:sz w:val="20"/>
          <w:szCs w:val="20"/>
        </w:rPr>
      </w:pPr>
      <w:r w:rsidRPr="00486348">
        <w:rPr>
          <w:rFonts w:ascii="Roboto" w:eastAsia="Roboto" w:hAnsi="Roboto" w:cs="Roboto"/>
          <w:color w:val="000000"/>
          <w:sz w:val="20"/>
          <w:szCs w:val="20"/>
        </w:rPr>
        <w:t xml:space="preserve">La primera refiere a una carga inicial de suministros alimenticios y de otros insumos de guerra, los cuales eran proporcionados por el Estado mexica desde el principio de las campañas, y se racionaban en los </w:t>
      </w:r>
      <w:r w:rsidRPr="00486348">
        <w:rPr>
          <w:rFonts w:ascii="Roboto" w:eastAsia="Roboto" w:hAnsi="Roboto" w:cs="Roboto"/>
          <w:color w:val="000000"/>
          <w:sz w:val="20"/>
          <w:szCs w:val="20"/>
        </w:rPr>
        <w:lastRenderedPageBreak/>
        <w:t>campamentos; estos víveres eran, sin duda, una de las partes sustanciales del avituallamiento indispensable para comenzar la campaña militar. Sin embargo, esos recursos eran consumidos y se agotaban en algún punto, de manera que eran necesarias una serie de estrategias posteriores para poder mantener a las tropas en óptimas condiciones, lo que los llevaba a una segunda y complementaria estrategia de avituallamiento de las tropas, ya en campaña.</w:t>
      </w:r>
    </w:p>
    <w:p w14:paraId="047D0DDB" w14:textId="77777777" w:rsidR="00F3570E" w:rsidRPr="00486348" w:rsidRDefault="00F3570E" w:rsidP="00F3570E">
      <w:pPr>
        <w:ind w:firstLine="284"/>
        <w:jc w:val="both"/>
        <w:rPr>
          <w:rFonts w:ascii="Roboto" w:eastAsia="Roboto" w:hAnsi="Roboto" w:cs="Roboto"/>
          <w:color w:val="000000"/>
          <w:sz w:val="20"/>
          <w:szCs w:val="20"/>
        </w:rPr>
      </w:pPr>
      <w:r w:rsidRPr="00486348">
        <w:rPr>
          <w:rFonts w:ascii="Roboto" w:eastAsia="Roboto" w:hAnsi="Roboto" w:cs="Roboto"/>
          <w:color w:val="000000"/>
          <w:sz w:val="20"/>
          <w:szCs w:val="20"/>
        </w:rPr>
        <w:t>Esos insumos de guerra venían directamente de tres fuentes básicas: la producción interna de Tenochtitlan; de los productos obtenidos de la tributación de los pueblos conquistados, y finalmente de lo que los aliados aportaban. Sumado a ello, y como veremos más adelante, las poblaciones conquistadas, cercanas ya a los campamentos montados o en la marcha del ejército, también debían proporcionar insumos de guerra.</w:t>
      </w:r>
    </w:p>
    <w:p w14:paraId="4C894FB8" w14:textId="1B787B12" w:rsidR="00F3570E" w:rsidRPr="00486348" w:rsidRDefault="00F3570E" w:rsidP="00F3570E">
      <w:pPr>
        <w:ind w:firstLine="284"/>
        <w:jc w:val="both"/>
        <w:rPr>
          <w:rFonts w:ascii="Roboto" w:eastAsia="Roboto" w:hAnsi="Roboto" w:cs="Roboto"/>
          <w:color w:val="000000"/>
          <w:sz w:val="20"/>
          <w:szCs w:val="20"/>
        </w:rPr>
      </w:pPr>
      <w:r w:rsidRPr="00486348">
        <w:rPr>
          <w:rFonts w:ascii="Roboto" w:eastAsia="Roboto" w:hAnsi="Roboto" w:cs="Roboto"/>
          <w:color w:val="000000"/>
          <w:sz w:val="20"/>
          <w:szCs w:val="20"/>
        </w:rPr>
        <w:t xml:space="preserve">Normalmente en la historiografía relacionada con el tributo, y particularmente para el tema que nos toca, el de los alimentos, se especifican sus usos dentro del Estado mexica para el sostenimiento de la burocracia de élite, para patrocinar lejanas expediciones de los pochtecas, para mantener a la población en caso de desastres, pero en pocas ocasiones se menciona el uso de dichos tributos para mantener al ejército. </w:t>
      </w:r>
    </w:p>
    <w:p w14:paraId="4AC4126C" w14:textId="78161397" w:rsidR="00F3570E" w:rsidRPr="00486348" w:rsidRDefault="00F3570E" w:rsidP="00F3570E">
      <w:pPr>
        <w:ind w:firstLine="284"/>
        <w:jc w:val="both"/>
        <w:rPr>
          <w:rFonts w:ascii="Roboto" w:eastAsia="Roboto" w:hAnsi="Roboto" w:cs="Roboto"/>
          <w:color w:val="000000"/>
          <w:sz w:val="20"/>
          <w:szCs w:val="20"/>
        </w:rPr>
      </w:pPr>
      <w:r w:rsidRPr="00486348">
        <w:rPr>
          <w:rFonts w:ascii="Roboto" w:eastAsia="Roboto" w:hAnsi="Roboto" w:cs="Roboto"/>
          <w:color w:val="000000"/>
          <w:sz w:val="20"/>
          <w:szCs w:val="20"/>
        </w:rPr>
        <w:t xml:space="preserve">En lo que al primer punto se refiere, tenemos testimonios de diversas fuentes que proveen información al respecto. Revisando las diversas campañas militares del mexica en las fuentes, nos encontramos con interesantes sorpresas del proceso de preparación de los conflictos. Normalmente, en cuanto se tenía la necesidad de iniciar una campaña bélica, ya fuera para sofocar una rebelión o bien para iniciar la conquista de nuevos territorios, después de haber pasado por el consejo militar y tomada la última palabra de parte del </w:t>
      </w:r>
      <w:proofErr w:type="spellStart"/>
      <w:r w:rsidRPr="00B04748">
        <w:rPr>
          <w:rFonts w:ascii="Roboto" w:eastAsia="Roboto" w:hAnsi="Roboto" w:cs="Roboto"/>
          <w:i/>
          <w:color w:val="000000"/>
          <w:sz w:val="20"/>
          <w:szCs w:val="20"/>
        </w:rPr>
        <w:t>cihuacóatl</w:t>
      </w:r>
      <w:proofErr w:type="spellEnd"/>
      <w:r w:rsidRPr="00486348">
        <w:rPr>
          <w:rFonts w:ascii="Roboto" w:eastAsia="Roboto" w:hAnsi="Roboto" w:cs="Roboto"/>
          <w:color w:val="000000"/>
          <w:sz w:val="20"/>
          <w:szCs w:val="20"/>
        </w:rPr>
        <w:t xml:space="preserve"> y el </w:t>
      </w:r>
      <w:r w:rsidRPr="00B04748">
        <w:rPr>
          <w:rFonts w:ascii="Roboto" w:eastAsia="Roboto" w:hAnsi="Roboto" w:cs="Roboto"/>
          <w:i/>
          <w:color w:val="000000"/>
          <w:sz w:val="20"/>
          <w:szCs w:val="20"/>
        </w:rPr>
        <w:t>tlatoani</w:t>
      </w:r>
      <w:r w:rsidRPr="00486348">
        <w:rPr>
          <w:rFonts w:ascii="Roboto" w:eastAsia="Roboto" w:hAnsi="Roboto" w:cs="Roboto"/>
          <w:color w:val="000000"/>
          <w:sz w:val="20"/>
          <w:szCs w:val="20"/>
        </w:rPr>
        <w:t>, se convocaba a todos los capitanes para que comenzaran a reunir lo necesario, incluyendo, desde luego, los víveres de los campamentos.</w:t>
      </w:r>
    </w:p>
    <w:p w14:paraId="5F038523" w14:textId="77777777" w:rsidR="00F3570E" w:rsidRPr="00486348" w:rsidRDefault="00F3570E" w:rsidP="00F3570E">
      <w:pPr>
        <w:ind w:firstLine="284"/>
        <w:jc w:val="both"/>
        <w:rPr>
          <w:rFonts w:ascii="Roboto" w:eastAsia="Roboto" w:hAnsi="Roboto" w:cs="Roboto"/>
          <w:color w:val="000000"/>
          <w:sz w:val="20"/>
          <w:szCs w:val="20"/>
        </w:rPr>
      </w:pPr>
      <w:proofErr w:type="spellStart"/>
      <w:r w:rsidRPr="00486348">
        <w:rPr>
          <w:rFonts w:ascii="Roboto" w:eastAsia="Roboto" w:hAnsi="Roboto" w:cs="Roboto"/>
          <w:color w:val="000000"/>
          <w:sz w:val="20"/>
          <w:szCs w:val="20"/>
        </w:rPr>
        <w:t>Tezozomoc</w:t>
      </w:r>
      <w:proofErr w:type="spellEnd"/>
      <w:r w:rsidRPr="00486348">
        <w:rPr>
          <w:rFonts w:ascii="Roboto" w:eastAsia="Roboto" w:hAnsi="Roboto" w:cs="Roboto"/>
          <w:color w:val="000000"/>
          <w:sz w:val="20"/>
          <w:szCs w:val="20"/>
        </w:rPr>
        <w:t xml:space="preserve"> nos lo cuenta de esta manera:</w:t>
      </w:r>
    </w:p>
    <w:p w14:paraId="251769A1" w14:textId="77777777" w:rsidR="00F3570E" w:rsidRPr="00486348" w:rsidRDefault="00F3570E" w:rsidP="00F3570E">
      <w:pPr>
        <w:ind w:firstLine="284"/>
        <w:jc w:val="both"/>
        <w:rPr>
          <w:rFonts w:ascii="Roboto" w:eastAsia="Roboto" w:hAnsi="Roboto" w:cs="Roboto"/>
          <w:color w:val="000000"/>
          <w:sz w:val="20"/>
          <w:szCs w:val="20"/>
        </w:rPr>
      </w:pPr>
    </w:p>
    <w:p w14:paraId="301C59DF" w14:textId="493710B0" w:rsidR="00107E19" w:rsidRPr="00F3570E" w:rsidRDefault="00F3570E" w:rsidP="00F3570E">
      <w:pPr>
        <w:ind w:firstLine="284"/>
        <w:jc w:val="both"/>
        <w:rPr>
          <w:rFonts w:ascii="Roboto" w:eastAsia="Roboto" w:hAnsi="Roboto" w:cs="Roboto"/>
          <w:color w:val="000000"/>
          <w:sz w:val="20"/>
          <w:szCs w:val="20"/>
        </w:rPr>
      </w:pPr>
      <w:r w:rsidRPr="00486348">
        <w:rPr>
          <w:rFonts w:ascii="Roboto" w:eastAsia="Roboto" w:hAnsi="Roboto" w:cs="Roboto"/>
          <w:color w:val="000000"/>
          <w:sz w:val="20"/>
          <w:szCs w:val="20"/>
        </w:rPr>
        <w:t xml:space="preserve">“Y con estos lo </w:t>
      </w:r>
      <w:proofErr w:type="spellStart"/>
      <w:r w:rsidRPr="00486348">
        <w:rPr>
          <w:rFonts w:ascii="Roboto" w:eastAsia="Roboto" w:hAnsi="Roboto" w:cs="Roboto"/>
          <w:color w:val="000000"/>
          <w:sz w:val="20"/>
          <w:szCs w:val="20"/>
        </w:rPr>
        <w:t>mayorodomos</w:t>
      </w:r>
      <w:proofErr w:type="spellEnd"/>
      <w:r w:rsidRPr="00486348">
        <w:rPr>
          <w:rFonts w:ascii="Roboto" w:eastAsia="Roboto" w:hAnsi="Roboto" w:cs="Roboto"/>
          <w:color w:val="000000"/>
          <w:sz w:val="20"/>
          <w:szCs w:val="20"/>
        </w:rPr>
        <w:t xml:space="preserve"> [y calpixques] de los pueblos dieron a sus barrios maíz para </w:t>
      </w:r>
      <w:proofErr w:type="spellStart"/>
      <w:r w:rsidRPr="00486348">
        <w:rPr>
          <w:rFonts w:ascii="Roboto" w:eastAsia="Roboto" w:hAnsi="Roboto" w:cs="Roboto"/>
          <w:color w:val="000000"/>
          <w:sz w:val="20"/>
          <w:szCs w:val="20"/>
        </w:rPr>
        <w:t>hezer</w:t>
      </w:r>
      <w:proofErr w:type="spellEnd"/>
      <w:r w:rsidRPr="00486348">
        <w:rPr>
          <w:rFonts w:ascii="Roboto" w:eastAsia="Roboto" w:hAnsi="Roboto" w:cs="Roboto"/>
          <w:color w:val="000000"/>
          <w:sz w:val="20"/>
          <w:szCs w:val="20"/>
        </w:rPr>
        <w:t xml:space="preserve"> bizcocho [</w:t>
      </w:r>
      <w:proofErr w:type="spellStart"/>
      <w:r w:rsidRPr="00486348">
        <w:rPr>
          <w:rFonts w:ascii="Roboto" w:eastAsia="Roboto" w:hAnsi="Roboto" w:cs="Roboto"/>
          <w:color w:val="000000"/>
          <w:sz w:val="20"/>
          <w:szCs w:val="20"/>
        </w:rPr>
        <w:t>tlaxcactutopochtli</w:t>
      </w:r>
      <w:proofErr w:type="spellEnd"/>
      <w:r w:rsidRPr="00486348">
        <w:rPr>
          <w:rFonts w:ascii="Roboto" w:eastAsia="Roboto" w:hAnsi="Roboto" w:cs="Roboto"/>
          <w:color w:val="000000"/>
          <w:sz w:val="20"/>
          <w:szCs w:val="20"/>
        </w:rPr>
        <w:t xml:space="preserve">], pinole, chile molido, </w:t>
      </w:r>
      <w:proofErr w:type="spellStart"/>
      <w:r w:rsidRPr="00486348">
        <w:rPr>
          <w:rFonts w:ascii="Roboto" w:eastAsia="Roboto" w:hAnsi="Roboto" w:cs="Roboto"/>
          <w:color w:val="000000"/>
          <w:sz w:val="20"/>
          <w:szCs w:val="20"/>
        </w:rPr>
        <w:t>chian</w:t>
      </w:r>
      <w:proofErr w:type="spellEnd"/>
      <w:r w:rsidRPr="00486348">
        <w:rPr>
          <w:rFonts w:ascii="Roboto" w:eastAsia="Roboto" w:hAnsi="Roboto" w:cs="Roboto"/>
          <w:color w:val="000000"/>
          <w:sz w:val="20"/>
          <w:szCs w:val="20"/>
        </w:rPr>
        <w:t xml:space="preserve">, frisol, y todo lo a ello perteneciente para en tal menester, para cierto día señalado de su </w:t>
      </w:r>
      <w:proofErr w:type="spellStart"/>
      <w:r w:rsidRPr="00486348">
        <w:rPr>
          <w:rFonts w:ascii="Roboto" w:eastAsia="Roboto" w:hAnsi="Roboto" w:cs="Roboto"/>
          <w:color w:val="000000"/>
          <w:sz w:val="20"/>
          <w:szCs w:val="20"/>
        </w:rPr>
        <w:t>biaje</w:t>
      </w:r>
      <w:proofErr w:type="spellEnd"/>
      <w:r w:rsidRPr="00486348">
        <w:rPr>
          <w:rFonts w:ascii="Roboto" w:eastAsia="Roboto" w:hAnsi="Roboto" w:cs="Roboto"/>
          <w:color w:val="000000"/>
          <w:sz w:val="20"/>
          <w:szCs w:val="20"/>
        </w:rPr>
        <w:t xml:space="preserve"> y camino” [</w:t>
      </w:r>
      <w:proofErr w:type="spellStart"/>
      <w:r w:rsidRPr="00486348">
        <w:rPr>
          <w:rFonts w:ascii="Roboto" w:eastAsia="Roboto" w:hAnsi="Roboto" w:cs="Roboto"/>
          <w:color w:val="000000"/>
          <w:sz w:val="20"/>
          <w:szCs w:val="20"/>
        </w:rPr>
        <w:t>Tezozomoc</w:t>
      </w:r>
      <w:proofErr w:type="spellEnd"/>
      <w:r w:rsidRPr="00486348">
        <w:rPr>
          <w:rFonts w:ascii="Roboto" w:eastAsia="Roboto" w:hAnsi="Roboto" w:cs="Roboto"/>
          <w:color w:val="000000"/>
          <w:sz w:val="20"/>
          <w:szCs w:val="20"/>
        </w:rPr>
        <w:t>, 2003: 153]</w:t>
      </w:r>
    </w:p>
    <w:p w14:paraId="2FEFDD4A" w14:textId="77777777" w:rsidR="00107E19" w:rsidRDefault="00107E19">
      <w:pPr>
        <w:jc w:val="both"/>
        <w:rPr>
          <w:rFonts w:ascii="Roboto" w:eastAsia="Roboto" w:hAnsi="Roboto" w:cs="Roboto"/>
          <w:sz w:val="20"/>
          <w:szCs w:val="20"/>
        </w:rPr>
      </w:pPr>
    </w:p>
    <w:p w14:paraId="2009269E" w14:textId="45C94A16" w:rsidR="00107E19" w:rsidRDefault="00F524CB">
      <w:pPr>
        <w:jc w:val="both"/>
        <w:rPr>
          <w:rFonts w:ascii="Roboto" w:eastAsia="Roboto" w:hAnsi="Roboto" w:cs="Roboto"/>
          <w:b/>
          <w:sz w:val="20"/>
          <w:szCs w:val="20"/>
        </w:rPr>
      </w:pPr>
      <w:r>
        <w:rPr>
          <w:rFonts w:ascii="Roboto" w:eastAsia="Roboto" w:hAnsi="Roboto" w:cs="Roboto"/>
          <w:b/>
          <w:sz w:val="20"/>
          <w:szCs w:val="20"/>
        </w:rPr>
        <w:t>REFERENC</w:t>
      </w:r>
      <w:r>
        <w:rPr>
          <w:rFonts w:ascii="Roboto" w:eastAsia="Roboto" w:hAnsi="Roboto" w:cs="Roboto"/>
          <w:b/>
          <w:sz w:val="20"/>
          <w:szCs w:val="20"/>
        </w:rPr>
        <w:t xml:space="preserve">IAS </w:t>
      </w:r>
    </w:p>
    <w:p w14:paraId="5989911C" w14:textId="77777777" w:rsidR="00D75F98" w:rsidRDefault="00D75F98" w:rsidP="00D75F98">
      <w:pPr>
        <w:ind w:left="709" w:hanging="1"/>
        <w:jc w:val="both"/>
      </w:pPr>
    </w:p>
    <w:p w14:paraId="2FC58CD1" w14:textId="7F9930C6" w:rsidR="00E92605" w:rsidRPr="009E4871" w:rsidRDefault="00E92605" w:rsidP="00E92605">
      <w:pPr>
        <w:ind w:left="709" w:hanging="709"/>
        <w:jc w:val="both"/>
        <w:rPr>
          <w:rFonts w:ascii="Roboto" w:eastAsia="Roboto" w:hAnsi="Roboto" w:cs="Roboto"/>
          <w:sz w:val="20"/>
          <w:szCs w:val="20"/>
        </w:rPr>
      </w:pPr>
      <w:r w:rsidRPr="009E4871">
        <w:rPr>
          <w:rFonts w:ascii="Roboto" w:eastAsia="Roboto" w:hAnsi="Roboto" w:cs="Roboto"/>
          <w:sz w:val="20"/>
          <w:szCs w:val="20"/>
        </w:rPr>
        <w:t>Cervera Obregón, Marco Antonio</w:t>
      </w:r>
      <w:r>
        <w:rPr>
          <w:rFonts w:ascii="Roboto" w:eastAsia="Roboto" w:hAnsi="Roboto" w:cs="Roboto"/>
          <w:sz w:val="20"/>
          <w:szCs w:val="20"/>
        </w:rPr>
        <w:t xml:space="preserve">, </w:t>
      </w:r>
      <w:r w:rsidR="00B04748">
        <w:rPr>
          <w:rFonts w:ascii="Roboto" w:eastAsia="Roboto" w:hAnsi="Roboto" w:cs="Roboto"/>
          <w:sz w:val="20"/>
          <w:szCs w:val="20"/>
        </w:rPr>
        <w:t>(</w:t>
      </w:r>
      <w:r w:rsidRPr="009E4871">
        <w:rPr>
          <w:rFonts w:ascii="Roboto" w:eastAsia="Roboto" w:hAnsi="Roboto" w:cs="Roboto"/>
          <w:sz w:val="20"/>
          <w:szCs w:val="20"/>
        </w:rPr>
        <w:t>2011</w:t>
      </w:r>
      <w:r w:rsidR="00B04748">
        <w:rPr>
          <w:rFonts w:ascii="Roboto" w:eastAsia="Roboto" w:hAnsi="Roboto" w:cs="Roboto"/>
          <w:sz w:val="20"/>
          <w:szCs w:val="20"/>
        </w:rPr>
        <w:t>).</w:t>
      </w:r>
      <w:r w:rsidRPr="009E4871">
        <w:rPr>
          <w:rFonts w:ascii="Roboto" w:eastAsia="Roboto" w:hAnsi="Roboto" w:cs="Roboto"/>
          <w:sz w:val="20"/>
          <w:szCs w:val="20"/>
        </w:rPr>
        <w:t xml:space="preserve"> </w:t>
      </w:r>
      <w:r w:rsidRPr="00B04748">
        <w:rPr>
          <w:rFonts w:ascii="Roboto" w:eastAsia="Roboto" w:hAnsi="Roboto" w:cs="Roboto"/>
          <w:i/>
          <w:sz w:val="20"/>
          <w:szCs w:val="20"/>
        </w:rPr>
        <w:t>Guerreros Aztecas</w:t>
      </w:r>
      <w:r w:rsidRPr="009E4871">
        <w:rPr>
          <w:rFonts w:ascii="Roboto" w:eastAsia="Roboto" w:hAnsi="Roboto" w:cs="Roboto"/>
          <w:sz w:val="20"/>
          <w:szCs w:val="20"/>
        </w:rPr>
        <w:t xml:space="preserve">. </w:t>
      </w:r>
      <w:proofErr w:type="spellStart"/>
      <w:r w:rsidRPr="009E4871">
        <w:rPr>
          <w:rFonts w:ascii="Roboto" w:eastAsia="Roboto" w:hAnsi="Roboto" w:cs="Roboto"/>
          <w:sz w:val="20"/>
          <w:szCs w:val="20"/>
        </w:rPr>
        <w:t>Nowtilus</w:t>
      </w:r>
      <w:proofErr w:type="spellEnd"/>
      <w:r w:rsidRPr="009E4871">
        <w:rPr>
          <w:rFonts w:ascii="Roboto" w:eastAsia="Roboto" w:hAnsi="Roboto" w:cs="Roboto"/>
          <w:sz w:val="20"/>
          <w:szCs w:val="20"/>
        </w:rPr>
        <w:t xml:space="preserve">, Madrid. </w:t>
      </w:r>
    </w:p>
    <w:p w14:paraId="46BAFAA5" w14:textId="77777777" w:rsidR="00E92605" w:rsidRDefault="00E92605" w:rsidP="00E92605">
      <w:pPr>
        <w:jc w:val="both"/>
        <w:rPr>
          <w:rFonts w:ascii="Roboto" w:eastAsia="Roboto" w:hAnsi="Roboto" w:cs="Roboto"/>
          <w:b/>
          <w:sz w:val="20"/>
          <w:szCs w:val="20"/>
        </w:rPr>
      </w:pPr>
    </w:p>
    <w:p w14:paraId="69755C36" w14:textId="351FFB37" w:rsidR="00E92605" w:rsidRPr="009E4871" w:rsidRDefault="00E92605" w:rsidP="00E92605">
      <w:pPr>
        <w:ind w:left="709" w:hanging="709"/>
        <w:jc w:val="both"/>
        <w:rPr>
          <w:rFonts w:ascii="Roboto" w:eastAsia="Roboto" w:hAnsi="Roboto" w:cs="Roboto"/>
          <w:sz w:val="20"/>
          <w:szCs w:val="20"/>
        </w:rPr>
      </w:pPr>
      <w:r w:rsidRPr="009E4871">
        <w:rPr>
          <w:rFonts w:ascii="Roboto" w:eastAsia="Roboto" w:hAnsi="Roboto" w:cs="Roboto"/>
          <w:sz w:val="20"/>
          <w:szCs w:val="20"/>
        </w:rPr>
        <w:t>Sahagún Fray Bernardino</w:t>
      </w:r>
      <w:r>
        <w:rPr>
          <w:rFonts w:ascii="Roboto" w:eastAsia="Roboto" w:hAnsi="Roboto" w:cs="Roboto"/>
          <w:sz w:val="20"/>
          <w:szCs w:val="20"/>
        </w:rPr>
        <w:t xml:space="preserve">, </w:t>
      </w:r>
      <w:r w:rsidR="00B04748">
        <w:rPr>
          <w:rFonts w:ascii="Roboto" w:eastAsia="Roboto" w:hAnsi="Roboto" w:cs="Roboto"/>
          <w:sz w:val="20"/>
          <w:szCs w:val="20"/>
        </w:rPr>
        <w:t>(</w:t>
      </w:r>
      <w:r w:rsidRPr="009E4871">
        <w:rPr>
          <w:rFonts w:ascii="Roboto" w:eastAsia="Roboto" w:hAnsi="Roboto" w:cs="Roboto"/>
          <w:sz w:val="20"/>
          <w:szCs w:val="20"/>
        </w:rPr>
        <w:t>1997</w:t>
      </w:r>
      <w:r w:rsidR="00B04748">
        <w:rPr>
          <w:rFonts w:ascii="Roboto" w:eastAsia="Roboto" w:hAnsi="Roboto" w:cs="Roboto"/>
          <w:sz w:val="20"/>
          <w:szCs w:val="20"/>
        </w:rPr>
        <w:t xml:space="preserve">). </w:t>
      </w:r>
      <w:r w:rsidRPr="00B04748">
        <w:rPr>
          <w:rFonts w:ascii="Roboto" w:eastAsia="Roboto" w:hAnsi="Roboto" w:cs="Roboto"/>
          <w:i/>
          <w:sz w:val="20"/>
          <w:szCs w:val="20"/>
        </w:rPr>
        <w:t>Historia general de las cosas de la Nueva España</w:t>
      </w:r>
      <w:r w:rsidRPr="009E4871">
        <w:rPr>
          <w:rFonts w:ascii="Roboto" w:eastAsia="Roboto" w:hAnsi="Roboto" w:cs="Roboto"/>
          <w:sz w:val="20"/>
          <w:szCs w:val="20"/>
        </w:rPr>
        <w:t xml:space="preserve">. Porrúa, México. </w:t>
      </w:r>
    </w:p>
    <w:p w14:paraId="565F6612" w14:textId="77777777" w:rsidR="00E92605" w:rsidRPr="009E4871" w:rsidRDefault="00E92605" w:rsidP="00E92605">
      <w:pPr>
        <w:jc w:val="both"/>
        <w:rPr>
          <w:rFonts w:ascii="Roboto" w:eastAsia="Roboto" w:hAnsi="Roboto" w:cs="Roboto"/>
          <w:sz w:val="20"/>
          <w:szCs w:val="20"/>
        </w:rPr>
      </w:pPr>
    </w:p>
    <w:p w14:paraId="1BA0E02A" w14:textId="32050796" w:rsidR="00E92605" w:rsidRPr="009E4871" w:rsidRDefault="00E92605" w:rsidP="00E92605">
      <w:pPr>
        <w:ind w:left="709" w:hanging="709"/>
        <w:jc w:val="both"/>
        <w:rPr>
          <w:rFonts w:ascii="Roboto" w:eastAsia="Roboto" w:hAnsi="Roboto" w:cs="Roboto"/>
          <w:sz w:val="20"/>
          <w:szCs w:val="20"/>
        </w:rPr>
      </w:pPr>
      <w:r w:rsidRPr="009E4871">
        <w:rPr>
          <w:rFonts w:ascii="Roboto" w:eastAsia="Roboto" w:hAnsi="Roboto" w:cs="Roboto"/>
          <w:sz w:val="20"/>
          <w:szCs w:val="20"/>
        </w:rPr>
        <w:t>Tezoz</w:t>
      </w:r>
      <w:r w:rsidR="00B04748">
        <w:rPr>
          <w:rFonts w:ascii="Roboto" w:eastAsia="Roboto" w:hAnsi="Roboto" w:cs="Roboto"/>
          <w:sz w:val="20"/>
          <w:szCs w:val="20"/>
        </w:rPr>
        <w:t>ó</w:t>
      </w:r>
      <w:bookmarkStart w:id="0" w:name="_GoBack"/>
      <w:bookmarkEnd w:id="0"/>
      <w:r w:rsidRPr="009E4871">
        <w:rPr>
          <w:rFonts w:ascii="Roboto" w:eastAsia="Roboto" w:hAnsi="Roboto" w:cs="Roboto"/>
          <w:sz w:val="20"/>
          <w:szCs w:val="20"/>
        </w:rPr>
        <w:t>moc, Hernando Alvarado</w:t>
      </w:r>
      <w:r>
        <w:rPr>
          <w:rFonts w:ascii="Roboto" w:eastAsia="Roboto" w:hAnsi="Roboto" w:cs="Roboto"/>
          <w:sz w:val="20"/>
          <w:szCs w:val="20"/>
        </w:rPr>
        <w:t xml:space="preserve">, </w:t>
      </w:r>
      <w:r w:rsidR="00B04748">
        <w:rPr>
          <w:rFonts w:ascii="Roboto" w:eastAsia="Roboto" w:hAnsi="Roboto" w:cs="Roboto"/>
          <w:sz w:val="20"/>
          <w:szCs w:val="20"/>
        </w:rPr>
        <w:t>(</w:t>
      </w:r>
      <w:r w:rsidRPr="009E4871">
        <w:rPr>
          <w:rFonts w:ascii="Roboto" w:eastAsia="Roboto" w:hAnsi="Roboto" w:cs="Roboto"/>
          <w:sz w:val="20"/>
          <w:szCs w:val="20"/>
        </w:rPr>
        <w:t>2001</w:t>
      </w:r>
      <w:r w:rsidR="00B04748">
        <w:rPr>
          <w:rFonts w:ascii="Roboto" w:eastAsia="Roboto" w:hAnsi="Roboto" w:cs="Roboto"/>
          <w:sz w:val="20"/>
          <w:szCs w:val="20"/>
        </w:rPr>
        <w:t>).</w:t>
      </w:r>
      <w:r w:rsidRPr="009E4871">
        <w:rPr>
          <w:rFonts w:ascii="Roboto" w:eastAsia="Roboto" w:hAnsi="Roboto" w:cs="Roboto"/>
          <w:sz w:val="20"/>
          <w:szCs w:val="20"/>
        </w:rPr>
        <w:tab/>
      </w:r>
      <w:r w:rsidRPr="00B04748">
        <w:rPr>
          <w:rFonts w:ascii="Roboto" w:eastAsia="Roboto" w:hAnsi="Roboto" w:cs="Roboto"/>
          <w:i/>
          <w:sz w:val="20"/>
          <w:szCs w:val="20"/>
        </w:rPr>
        <w:t xml:space="preserve">Crónica Mexicana, </w:t>
      </w:r>
      <w:r w:rsidRPr="009E4871">
        <w:rPr>
          <w:rFonts w:ascii="Roboto" w:eastAsia="Roboto" w:hAnsi="Roboto" w:cs="Roboto"/>
          <w:sz w:val="20"/>
          <w:szCs w:val="20"/>
        </w:rPr>
        <w:t xml:space="preserve">Crónicas de América, </w:t>
      </w:r>
      <w:proofErr w:type="spellStart"/>
      <w:r w:rsidRPr="009E4871">
        <w:rPr>
          <w:rFonts w:ascii="Roboto" w:eastAsia="Roboto" w:hAnsi="Roboto" w:cs="Roboto"/>
          <w:sz w:val="20"/>
          <w:szCs w:val="20"/>
        </w:rPr>
        <w:t>Dastin</w:t>
      </w:r>
      <w:proofErr w:type="spellEnd"/>
      <w:r w:rsidRPr="009E4871">
        <w:rPr>
          <w:rFonts w:ascii="Roboto" w:eastAsia="Roboto" w:hAnsi="Roboto" w:cs="Roboto"/>
          <w:sz w:val="20"/>
          <w:szCs w:val="20"/>
        </w:rPr>
        <w:t xml:space="preserve">. </w:t>
      </w:r>
    </w:p>
    <w:p w14:paraId="224FD581" w14:textId="77777777" w:rsidR="00842D12" w:rsidRDefault="00842D12" w:rsidP="00842D12">
      <w:pPr>
        <w:ind w:left="709" w:hanging="709"/>
        <w:jc w:val="both"/>
      </w:pPr>
    </w:p>
    <w:p w14:paraId="15F56B37" w14:textId="77777777" w:rsidR="00D75F98" w:rsidRDefault="00D75F98" w:rsidP="00D75F98">
      <w:pPr>
        <w:ind w:left="708" w:hanging="708"/>
        <w:jc w:val="both"/>
      </w:pPr>
    </w:p>
    <w:p w14:paraId="3973188B" w14:textId="77777777" w:rsidR="00D75F98" w:rsidRPr="00C20905" w:rsidRDefault="00D75F98" w:rsidP="00D75F98">
      <w:pPr>
        <w:jc w:val="both"/>
      </w:pPr>
    </w:p>
    <w:p w14:paraId="1DAFC5EB" w14:textId="77777777" w:rsidR="00D75F98" w:rsidRDefault="00D75F98" w:rsidP="00D75F98">
      <w:pPr>
        <w:ind w:left="708" w:hanging="708"/>
        <w:jc w:val="both"/>
      </w:pPr>
    </w:p>
    <w:p w14:paraId="4F7F56A3" w14:textId="7566DBB1" w:rsidR="00107E19" w:rsidRDefault="00107E19" w:rsidP="00D75F98">
      <w:pPr>
        <w:jc w:val="both"/>
        <w:rPr>
          <w:rFonts w:ascii="Roboto" w:eastAsia="Roboto" w:hAnsi="Roboto" w:cs="Roboto"/>
        </w:rPr>
      </w:pPr>
    </w:p>
    <w:sectPr w:rsidR="00107E19">
      <w:type w:val="continuous"/>
      <w:pgSz w:w="11906" w:h="16838"/>
      <w:pgMar w:top="1134" w:right="851" w:bottom="1134" w:left="851" w:header="357" w:footer="720" w:gutter="0"/>
      <w:cols w:num="2" w:space="720" w:equalWidth="0">
        <w:col w:w="4934" w:space="335"/>
        <w:col w:w="4934" w:space="0"/>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45906F5" w14:textId="77777777" w:rsidR="00F524CB" w:rsidRDefault="00F524CB">
      <w:r>
        <w:separator/>
      </w:r>
    </w:p>
  </w:endnote>
  <w:endnote w:type="continuationSeparator" w:id="0">
    <w:p w14:paraId="013EE00C" w14:textId="77777777" w:rsidR="00F524CB" w:rsidRDefault="00F524C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embedRegular r:id="rId1" w:fontKey="{EE295DE8-5104-48A2-9E5F-69F20769D8D0}"/>
    <w:embedBold r:id="rId2" w:fontKey="{C4528F4D-F750-490C-9D9A-2332653DE985}"/>
  </w:font>
  <w:font w:name="Georgia">
    <w:panose1 w:val="02040502050405020303"/>
    <w:charset w:val="00"/>
    <w:family w:val="roman"/>
    <w:pitch w:val="variable"/>
    <w:sig w:usb0="00000287" w:usb1="00000000" w:usb2="00000000" w:usb3="00000000" w:csb0="0000009F" w:csb1="00000000"/>
    <w:embedRegular r:id="rId3" w:fontKey="{37679F74-2BEA-4348-AA7F-BDEA7D2DCF2B}"/>
    <w:embedItalic r:id="rId4" w:fontKey="{A65711A3-F4BF-4747-AF34-FA57F7E6B5C8}"/>
  </w:font>
  <w:font w:name="Roboto">
    <w:altName w:val="Arial"/>
    <w:charset w:val="00"/>
    <w:family w:val="auto"/>
    <w:pitch w:val="variable"/>
    <w:sig w:usb0="E0000AFF" w:usb1="5000217F" w:usb2="00000021" w:usb3="00000000" w:csb0="0000019F" w:csb1="00000000"/>
    <w:embedRegular r:id="rId5" w:fontKey="{ADC5B767-9B72-4611-81C9-B906BC176411}"/>
    <w:embedBold r:id="rId6" w:fontKey="{C0653F2E-D3F1-400C-A049-4A365C62E160}"/>
    <w:embedItalic r:id="rId7" w:fontKey="{57748D24-AC09-47EE-8470-5A96581399BA}"/>
  </w:font>
  <w:font w:name="Calibri Light">
    <w:panose1 w:val="020F0302020204030204"/>
    <w:charset w:val="00"/>
    <w:family w:val="swiss"/>
    <w:pitch w:val="variable"/>
    <w:sig w:usb0="E4002EFF" w:usb1="C000247B" w:usb2="00000009" w:usb3="00000000" w:csb0="000001FF" w:csb1="00000000"/>
    <w:embedRegular r:id="rId8" w:fontKey="{576F6AD9-0996-4870-AA62-56A4B651E882}"/>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433C017" w14:textId="77777777" w:rsidR="00F524CB" w:rsidRDefault="00F524CB">
      <w:r>
        <w:separator/>
      </w:r>
    </w:p>
  </w:footnote>
  <w:footnote w:type="continuationSeparator" w:id="0">
    <w:p w14:paraId="4C92ACDF" w14:textId="77777777" w:rsidR="00F524CB" w:rsidRDefault="00F524C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A948F8B" w14:textId="77777777" w:rsidR="00107E19" w:rsidRDefault="00107E19">
    <w:pPr>
      <w:widowControl w:val="0"/>
      <w:pBdr>
        <w:top w:val="nil"/>
        <w:left w:val="nil"/>
        <w:bottom w:val="nil"/>
        <w:right w:val="nil"/>
        <w:between w:val="nil"/>
      </w:pBdr>
      <w:spacing w:line="276" w:lineRule="auto"/>
      <w:rPr>
        <w:rFonts w:ascii="Roboto" w:eastAsia="Roboto" w:hAnsi="Roboto" w:cs="Roboto"/>
      </w:rPr>
    </w:pPr>
  </w:p>
  <w:tbl>
    <w:tblPr>
      <w:tblStyle w:val="a2"/>
      <w:tblW w:w="6306" w:type="dxa"/>
      <w:jc w:val="center"/>
      <w:tblInd w:w="0" w:type="dxa"/>
      <w:tblLayout w:type="fixed"/>
      <w:tblLook w:val="0400" w:firstRow="0" w:lastRow="0" w:firstColumn="0" w:lastColumn="0" w:noHBand="0" w:noVBand="1"/>
    </w:tblPr>
    <w:tblGrid>
      <w:gridCol w:w="6306"/>
    </w:tblGrid>
    <w:tr w:rsidR="00107E19" w14:paraId="048C2478" w14:textId="77777777">
      <w:trPr>
        <w:trHeight w:val="345"/>
        <w:jc w:val="center"/>
      </w:trPr>
      <w:tc>
        <w:tcPr>
          <w:tcW w:w="6306" w:type="dxa"/>
          <w:vAlign w:val="center"/>
        </w:tcPr>
        <w:p w14:paraId="6053A920" w14:textId="77777777" w:rsidR="00107E19" w:rsidRDefault="00107E19">
          <w:pPr>
            <w:jc w:val="center"/>
            <w:rPr>
              <w:i/>
              <w:sz w:val="18"/>
              <w:szCs w:val="18"/>
            </w:rPr>
          </w:pPr>
        </w:p>
      </w:tc>
    </w:tr>
  </w:tbl>
  <w:p w14:paraId="0F5FBC08" w14:textId="77777777" w:rsidR="00107E19" w:rsidRDefault="00107E19">
    <w:pPr>
      <w:pBdr>
        <w:top w:val="nil"/>
        <w:left w:val="nil"/>
        <w:bottom w:val="nil"/>
        <w:right w:val="nil"/>
        <w:between w:val="nil"/>
      </w:pBdr>
      <w:tabs>
        <w:tab w:val="center" w:pos="4320"/>
        <w:tab w:val="right" w:pos="8640"/>
      </w:tabs>
      <w:rPr>
        <w:rFonts w:ascii="Calibri" w:eastAsia="Calibri" w:hAnsi="Calibri" w:cs="Calibri"/>
        <w:color w:val="000000"/>
        <w:sz w:val="22"/>
        <w:szCs w:val="2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embedTrueTypeFont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07E19"/>
    <w:rsid w:val="00052FA1"/>
    <w:rsid w:val="00107E19"/>
    <w:rsid w:val="001B3B05"/>
    <w:rsid w:val="00842D12"/>
    <w:rsid w:val="008C33B5"/>
    <w:rsid w:val="009C725F"/>
    <w:rsid w:val="009E22B6"/>
    <w:rsid w:val="00B04748"/>
    <w:rsid w:val="00D75F98"/>
    <w:rsid w:val="00DC0F16"/>
    <w:rsid w:val="00E3151A"/>
    <w:rsid w:val="00E45A73"/>
    <w:rsid w:val="00E92605"/>
    <w:rsid w:val="00F3570E"/>
    <w:rsid w:val="00F524CB"/>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2FB9B5"/>
  <w15:docId w15:val="{7F880BCA-0323-554F-9993-C21C72D5FD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4"/>
        <w:szCs w:val="24"/>
        <w:lang w:val="es-MX" w:eastAsia="es-MX"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80" w:after="120"/>
      <w:outlineLvl w:val="0"/>
    </w:pPr>
    <w:rPr>
      <w:b/>
      <w:sz w:val="48"/>
      <w:szCs w:val="48"/>
    </w:rPr>
  </w:style>
  <w:style w:type="paragraph" w:styleId="Ttulo2">
    <w:name w:val="heading 2"/>
    <w:basedOn w:val="Normal"/>
    <w:next w:val="Normal"/>
    <w:uiPriority w:val="9"/>
    <w:semiHidden/>
    <w:unhideWhenUsed/>
    <w:qFormat/>
    <w:pPr>
      <w:keepNext/>
      <w:keepLines/>
      <w:spacing w:before="360" w:after="80"/>
      <w:outlineLvl w:val="1"/>
    </w:pPr>
    <w:rPr>
      <w:b/>
      <w:sz w:val="36"/>
      <w:szCs w:val="36"/>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rPr>
  </w:style>
  <w:style w:type="paragraph" w:styleId="Ttulo5">
    <w:name w:val="heading 5"/>
    <w:basedOn w:val="Normal"/>
    <w:next w:val="Normal"/>
    <w:uiPriority w:val="9"/>
    <w:semiHidden/>
    <w:unhideWhenUsed/>
    <w:qFormat/>
    <w:pPr>
      <w:keepNext/>
      <w:keepLines/>
      <w:spacing w:before="220" w:after="40"/>
      <w:outlineLvl w:val="4"/>
    </w:pPr>
    <w:rPr>
      <w:b/>
      <w:sz w:val="22"/>
      <w:szCs w:val="22"/>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tulo">
    <w:name w:val="Title"/>
    <w:basedOn w:val="Normal"/>
    <w:next w:val="Normal"/>
    <w:uiPriority w:val="10"/>
    <w:qFormat/>
    <w:pPr>
      <w:keepNext/>
      <w:keepLines/>
      <w:spacing w:before="480" w:after="120"/>
    </w:pPr>
    <w:rPr>
      <w:b/>
      <w:sz w:val="72"/>
      <w:szCs w:val="72"/>
    </w:rPr>
  </w:style>
  <w:style w:type="table" w:customStyle="1" w:styleId="TableNormal0">
    <w:name w:val="TableNormal"/>
    <w:tblPr>
      <w:tblCellMar>
        <w:top w:w="100" w:type="dxa"/>
        <w:left w:w="100" w:type="dxa"/>
        <w:bottom w:w="100" w:type="dxa"/>
        <w:right w:w="100" w:type="dxa"/>
      </w:tblCellMar>
    </w:tblPr>
  </w:style>
  <w:style w:type="paragraph" w:styleId="Encabezado">
    <w:name w:val="header"/>
    <w:basedOn w:val="Normal"/>
    <w:link w:val="EncabezadoCar"/>
    <w:uiPriority w:val="99"/>
    <w:unhideWhenUsed/>
    <w:rsid w:val="005625FC"/>
    <w:pPr>
      <w:tabs>
        <w:tab w:val="center" w:pos="4320"/>
        <w:tab w:val="right" w:pos="8640"/>
      </w:tabs>
    </w:pPr>
    <w:rPr>
      <w:rFonts w:asciiTheme="minorHAnsi" w:eastAsiaTheme="minorHAnsi" w:hAnsiTheme="minorHAnsi" w:cstheme="minorBidi"/>
      <w:sz w:val="22"/>
      <w:szCs w:val="22"/>
      <w:lang w:val="en-US"/>
    </w:rPr>
  </w:style>
  <w:style w:type="character" w:customStyle="1" w:styleId="EncabezadoCar">
    <w:name w:val="Encabezado Car"/>
    <w:basedOn w:val="Fuentedeprrafopredeter"/>
    <w:link w:val="Encabezado"/>
    <w:uiPriority w:val="99"/>
    <w:rsid w:val="005625FC"/>
    <w:rPr>
      <w:lang w:val="en-US"/>
    </w:rPr>
  </w:style>
  <w:style w:type="paragraph" w:customStyle="1" w:styleId="AUTHORSNAMES">
    <w:name w:val="AUTHORS NAMES"/>
    <w:basedOn w:val="Normal"/>
    <w:qFormat/>
    <w:rsid w:val="005625FC"/>
    <w:pPr>
      <w:spacing w:before="120" w:after="120" w:line="240" w:lineRule="atLeast"/>
    </w:pPr>
    <w:rPr>
      <w:b/>
      <w:sz w:val="22"/>
      <w:szCs w:val="20"/>
    </w:rPr>
  </w:style>
  <w:style w:type="paragraph" w:customStyle="1" w:styleId="AFFILIATIONS">
    <w:name w:val="AFFILIATIONS"/>
    <w:basedOn w:val="Normal"/>
    <w:qFormat/>
    <w:rsid w:val="005625FC"/>
    <w:pPr>
      <w:spacing w:line="240" w:lineRule="atLeast"/>
    </w:pPr>
    <w:rPr>
      <w:sz w:val="18"/>
      <w:szCs w:val="20"/>
      <w:vertAlign w:val="superscript"/>
      <w:lang w:val="en-US"/>
    </w:rPr>
  </w:style>
  <w:style w:type="paragraph" w:styleId="Textocomentario">
    <w:name w:val="annotation text"/>
    <w:basedOn w:val="Normal"/>
    <w:link w:val="TextocomentarioCar"/>
    <w:rsid w:val="005625FC"/>
    <w:rPr>
      <w:sz w:val="20"/>
      <w:szCs w:val="20"/>
    </w:rPr>
  </w:style>
  <w:style w:type="character" w:customStyle="1" w:styleId="TextocomentarioCar">
    <w:name w:val="Texto comentario Car"/>
    <w:basedOn w:val="Fuentedeprrafopredeter"/>
    <w:link w:val="Textocomentario"/>
    <w:rsid w:val="005625FC"/>
    <w:rPr>
      <w:rFonts w:ascii="Times New Roman" w:eastAsia="Times New Roman" w:hAnsi="Times New Roman" w:cs="Times New Roman"/>
      <w:sz w:val="20"/>
      <w:szCs w:val="20"/>
      <w:lang w:val="tr-TR" w:eastAsia="tr-TR"/>
    </w:rPr>
  </w:style>
  <w:style w:type="character" w:styleId="Hipervnculo">
    <w:name w:val="Hyperlink"/>
    <w:basedOn w:val="Fuentedeprrafopredeter"/>
    <w:uiPriority w:val="99"/>
    <w:unhideWhenUsed/>
    <w:rsid w:val="005625FC"/>
    <w:rPr>
      <w:color w:val="0563C1" w:themeColor="hyperlink"/>
      <w:u w:val="single"/>
    </w:rPr>
  </w:style>
  <w:style w:type="paragraph" w:styleId="Piedepgina">
    <w:name w:val="footer"/>
    <w:basedOn w:val="Normal"/>
    <w:link w:val="PiedepginaCar"/>
    <w:uiPriority w:val="99"/>
    <w:unhideWhenUsed/>
    <w:rsid w:val="00B12BB3"/>
    <w:pPr>
      <w:tabs>
        <w:tab w:val="center" w:pos="4419"/>
        <w:tab w:val="right" w:pos="8838"/>
      </w:tabs>
    </w:pPr>
  </w:style>
  <w:style w:type="character" w:customStyle="1" w:styleId="PiedepginaCar">
    <w:name w:val="Pie de página Car"/>
    <w:basedOn w:val="Fuentedeprrafopredeter"/>
    <w:link w:val="Piedepgina"/>
    <w:uiPriority w:val="99"/>
    <w:rsid w:val="00B12BB3"/>
    <w:rPr>
      <w:rFonts w:ascii="Times New Roman" w:eastAsia="Times New Roman" w:hAnsi="Times New Roman" w:cs="Times New Roman"/>
      <w:sz w:val="24"/>
      <w:szCs w:val="24"/>
      <w:lang w:val="tr-TR" w:eastAsia="tr-TR"/>
    </w:rPr>
  </w:style>
  <w:style w:type="character" w:styleId="Mencinsinresolver">
    <w:name w:val="Unresolved Mention"/>
    <w:basedOn w:val="Fuentedeprrafopredeter"/>
    <w:uiPriority w:val="99"/>
    <w:semiHidden/>
    <w:unhideWhenUsed/>
    <w:rsid w:val="00AC5917"/>
    <w:rPr>
      <w:color w:val="605E5C"/>
      <w:shd w:val="clear" w:color="auto" w:fill="E1DFDD"/>
    </w:rPr>
  </w:style>
  <w:style w:type="table" w:customStyle="1" w:styleId="a">
    <w:basedOn w:val="TableNormal0"/>
    <w:tblPr>
      <w:tblStyleRowBandSize w:val="1"/>
      <w:tblStyleColBandSize w:val="1"/>
      <w:tblCellMar>
        <w:top w:w="0" w:type="dxa"/>
        <w:left w:w="115" w:type="dxa"/>
        <w:bottom w:w="0" w:type="dxa"/>
        <w:right w:w="115" w:type="dxa"/>
      </w:tblCellMar>
    </w:tblPr>
  </w:style>
  <w:style w:type="table" w:customStyle="1" w:styleId="a0">
    <w:basedOn w:val="TableNormal0"/>
    <w:tblPr>
      <w:tblStyleRowBandSize w:val="1"/>
      <w:tblStyleColBandSize w:val="1"/>
      <w:tblCellMar>
        <w:top w:w="0" w:type="dxa"/>
        <w:left w:w="115" w:type="dxa"/>
        <w:bottom w:w="0" w:type="dxa"/>
        <w:right w:w="115" w:type="dxa"/>
      </w:tblCellMar>
    </w:tbl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1">
    <w:basedOn w:val="TableNormal0"/>
    <w:tblPr>
      <w:tblStyleRowBandSize w:val="1"/>
      <w:tblStyleColBandSize w:val="1"/>
      <w:tblCellMar>
        <w:top w:w="0" w:type="dxa"/>
        <w:left w:w="115" w:type="dxa"/>
        <w:bottom w:w="0" w:type="dxa"/>
        <w:right w:w="115" w:type="dxa"/>
      </w:tblCellMar>
    </w:tblPr>
  </w:style>
  <w:style w:type="table" w:customStyle="1" w:styleId="a2">
    <w:basedOn w:val="TableNormal0"/>
    <w:tblPr>
      <w:tblStyleRowBandSize w:val="1"/>
      <w:tblStyleColBandSize w:val="1"/>
      <w:tblCellMar>
        <w:top w:w="0" w:type="dxa"/>
        <w:left w:w="115" w:type="dxa"/>
        <w:bottom w:w="0" w:type="dxa"/>
        <w:right w:w="115" w:type="dxa"/>
      </w:tblCellMar>
    </w:tblPr>
  </w:style>
  <w:style w:type="paragraph" w:styleId="Textonotapie">
    <w:name w:val="footnote text"/>
    <w:basedOn w:val="Normal"/>
    <w:link w:val="TextonotapieCar"/>
    <w:unhideWhenUsed/>
    <w:rsid w:val="00D75F98"/>
    <w:rPr>
      <w:rFonts w:asciiTheme="minorHAnsi" w:eastAsiaTheme="minorHAnsi" w:hAnsiTheme="minorHAnsi" w:cstheme="minorBidi"/>
      <w:sz w:val="20"/>
      <w:szCs w:val="20"/>
      <w:lang w:eastAsia="en-US"/>
    </w:rPr>
  </w:style>
  <w:style w:type="character" w:customStyle="1" w:styleId="TextonotapieCar">
    <w:name w:val="Texto nota pie Car"/>
    <w:basedOn w:val="Fuentedeprrafopredeter"/>
    <w:link w:val="Textonotapie"/>
    <w:uiPriority w:val="99"/>
    <w:rsid w:val="00D75F98"/>
    <w:rPr>
      <w:rFonts w:asciiTheme="minorHAnsi" w:eastAsiaTheme="minorHAnsi" w:hAnsiTheme="minorHAnsi" w:cstheme="minorBidi"/>
      <w:sz w:val="20"/>
      <w:szCs w:val="20"/>
      <w:lang w:eastAsia="en-US"/>
    </w:rPr>
  </w:style>
  <w:style w:type="character" w:styleId="Refdenotaalpie">
    <w:name w:val="footnote reference"/>
    <w:basedOn w:val="Fuentedeprrafopredeter"/>
    <w:unhideWhenUsed/>
    <w:rsid w:val="00F3570E"/>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mailto:marco.cervera@anahuac.mx"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ljXbelLgG65gZF2QnhxRlAtOTng==">CgMxLjA4AHIhMVVnbmZxNjZHV2Z0N2NLeFRUSEl4WjFxMVQ0MkVYSkYx</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2</Pages>
  <Words>1225</Words>
  <Characters>6742</Characters>
  <Application>Microsoft Office Word</Application>
  <DocSecurity>0</DocSecurity>
  <Lines>56</Lines>
  <Paragraphs>15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7952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Mariana Berenice González Leija</dc:creator>
  <cp:lastModifiedBy>Marco Antonio Cervera Obregón</cp:lastModifiedBy>
  <cp:revision>3</cp:revision>
  <dcterms:created xsi:type="dcterms:W3CDTF">2026-02-25T21:11:00Z</dcterms:created>
  <dcterms:modified xsi:type="dcterms:W3CDTF">2026-02-25T21:19:00Z</dcterms:modified>
</cp:coreProperties>
</file>