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457CDC" w14:textId="77777777" w:rsidR="00761FEE" w:rsidRPr="00761FEE" w:rsidRDefault="00761FEE">
      <w:pPr>
        <w:pBdr>
          <w:top w:val="nil"/>
          <w:left w:val="nil"/>
          <w:bottom w:val="nil"/>
          <w:right w:val="nil"/>
          <w:between w:val="nil"/>
        </w:pBdr>
        <w:spacing w:before="120" w:after="120"/>
        <w:jc w:val="center"/>
        <w:rPr>
          <w:rFonts w:ascii="Roboto" w:eastAsia="Roboto" w:hAnsi="Roboto" w:cs="Roboto"/>
          <w:b/>
          <w:color w:val="000000"/>
        </w:rPr>
      </w:pPr>
      <w:r w:rsidRPr="00761FEE">
        <w:rPr>
          <w:rFonts w:ascii="Roboto" w:eastAsia="Roboto" w:hAnsi="Roboto" w:cs="Roboto"/>
          <w:b/>
          <w:color w:val="000000"/>
        </w:rPr>
        <w:t>Propuestas de solución a un problema de inseguridad en la vida del México contemporáneo</w:t>
      </w:r>
    </w:p>
    <w:p w14:paraId="70D3DF68" w14:textId="77777777" w:rsidR="00FC5660" w:rsidRDefault="00761FEE">
      <w:pPr>
        <w:pBdr>
          <w:top w:val="nil"/>
          <w:left w:val="nil"/>
          <w:bottom w:val="nil"/>
          <w:right w:val="nil"/>
          <w:between w:val="nil"/>
        </w:pBdr>
        <w:spacing w:before="120" w:after="120"/>
        <w:jc w:val="center"/>
        <w:rPr>
          <w:rFonts w:ascii="Roboto" w:eastAsia="Roboto" w:hAnsi="Roboto" w:cs="Roboto"/>
          <w:b/>
          <w:color w:val="000000"/>
          <w:sz w:val="20"/>
          <w:szCs w:val="20"/>
        </w:rPr>
      </w:pPr>
      <w:r w:rsidRPr="00761FEE">
        <w:rPr>
          <w:rFonts w:ascii="Roboto" w:eastAsia="Roboto" w:hAnsi="Roboto" w:cs="Roboto"/>
          <w:b/>
          <w:color w:val="000000"/>
          <w:sz w:val="20"/>
          <w:szCs w:val="20"/>
        </w:rPr>
        <w:t>González-Vega, PF</w:t>
      </w:r>
      <w:r w:rsidR="00971D90">
        <w:rPr>
          <w:rFonts w:ascii="Roboto" w:eastAsia="Roboto" w:hAnsi="Roboto" w:cs="Roboto"/>
          <w:b/>
          <w:color w:val="000000"/>
          <w:sz w:val="20"/>
          <w:szCs w:val="20"/>
          <w:vertAlign w:val="superscript"/>
        </w:rPr>
        <w:t>1</w:t>
      </w:r>
      <w:r w:rsidR="00971D90">
        <w:rPr>
          <w:rFonts w:ascii="Roboto" w:eastAsia="Roboto" w:hAnsi="Roboto" w:cs="Roboto"/>
          <w:b/>
          <w:color w:val="000000"/>
          <w:sz w:val="20"/>
          <w:szCs w:val="20"/>
        </w:rPr>
        <w:t xml:space="preserve">, </w:t>
      </w:r>
      <w:r>
        <w:rPr>
          <w:rFonts w:ascii="Roboto" w:eastAsia="Roboto" w:hAnsi="Roboto" w:cs="Roboto"/>
          <w:b/>
          <w:color w:val="000000"/>
          <w:sz w:val="20"/>
          <w:szCs w:val="20"/>
        </w:rPr>
        <w:t>López-Barrientos, JD</w:t>
      </w:r>
      <w:r w:rsidR="00971D90">
        <w:rPr>
          <w:rFonts w:ascii="Roboto" w:eastAsia="Roboto" w:hAnsi="Roboto" w:cs="Roboto"/>
          <w:b/>
          <w:color w:val="000000"/>
          <w:sz w:val="20"/>
          <w:szCs w:val="20"/>
          <w:vertAlign w:val="superscript"/>
        </w:rPr>
        <w:t>2*</w:t>
      </w:r>
    </w:p>
    <w:p w14:paraId="0B2E90AC" w14:textId="77777777" w:rsidR="00FC5660" w:rsidRDefault="00971D90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Roboto" w:eastAsia="Roboto" w:hAnsi="Roboto" w:cs="Roboto"/>
          <w:color w:val="000000"/>
          <w:sz w:val="18"/>
          <w:szCs w:val="18"/>
          <w:vertAlign w:val="superscript"/>
        </w:rPr>
      </w:pPr>
      <w:r>
        <w:rPr>
          <w:rFonts w:ascii="Roboto" w:eastAsia="Roboto" w:hAnsi="Roboto" w:cs="Roboto"/>
          <w:color w:val="000000"/>
          <w:sz w:val="18"/>
          <w:szCs w:val="18"/>
          <w:vertAlign w:val="superscript"/>
        </w:rPr>
        <w:t>1</w:t>
      </w:r>
      <w:r w:rsidR="00761FEE">
        <w:rPr>
          <w:rFonts w:ascii="Roboto" w:eastAsia="Roboto" w:hAnsi="Roboto" w:cs="Roboto"/>
          <w:color w:val="000000"/>
          <w:sz w:val="18"/>
          <w:szCs w:val="18"/>
        </w:rPr>
        <w:t>Facultad de Ciencias Actuariales de la Universidad Anáhuac México</w:t>
      </w:r>
      <w:r>
        <w:rPr>
          <w:rFonts w:ascii="Roboto" w:eastAsia="Roboto" w:hAnsi="Roboto" w:cs="Roboto"/>
          <w:color w:val="000000"/>
          <w:sz w:val="18"/>
          <w:szCs w:val="18"/>
        </w:rPr>
        <w:t>, ORCID</w:t>
      </w:r>
      <w:r w:rsidR="00761FEE">
        <w:rPr>
          <w:rFonts w:ascii="Roboto" w:eastAsia="Roboto" w:hAnsi="Roboto" w:cs="Roboto"/>
          <w:color w:val="000000"/>
          <w:sz w:val="18"/>
          <w:szCs w:val="18"/>
        </w:rPr>
        <w:t xml:space="preserve">: </w:t>
      </w:r>
      <w:hyperlink r:id="rId8" w:history="1">
        <w:r w:rsidR="00761FEE" w:rsidRPr="00465B39">
          <w:rPr>
            <w:rStyle w:val="Hipervnculo"/>
            <w:rFonts w:ascii="Roboto" w:eastAsia="Roboto" w:hAnsi="Roboto" w:cs="Roboto"/>
            <w:sz w:val="18"/>
            <w:szCs w:val="18"/>
          </w:rPr>
          <w:t>0000-0001-9315-1227</w:t>
        </w:r>
      </w:hyperlink>
      <w:r w:rsidR="00761FEE">
        <w:rPr>
          <w:rFonts w:ascii="Roboto" w:eastAsia="Roboto" w:hAnsi="Roboto" w:cs="Roboto"/>
          <w:color w:val="000000"/>
          <w:sz w:val="18"/>
          <w:szCs w:val="18"/>
        </w:rPr>
        <w:t xml:space="preserve"> </w:t>
      </w:r>
    </w:p>
    <w:p w14:paraId="1470BB94" w14:textId="77777777" w:rsidR="00FC5660" w:rsidRDefault="00971D90">
      <w:pPr>
        <w:jc w:val="center"/>
        <w:rPr>
          <w:rFonts w:ascii="Roboto" w:eastAsia="Roboto" w:hAnsi="Roboto" w:cs="Roboto"/>
          <w:sz w:val="18"/>
          <w:szCs w:val="18"/>
        </w:rPr>
      </w:pPr>
      <w:r>
        <w:rPr>
          <w:rFonts w:ascii="Roboto" w:eastAsia="Roboto" w:hAnsi="Roboto" w:cs="Roboto"/>
          <w:sz w:val="18"/>
          <w:szCs w:val="18"/>
          <w:vertAlign w:val="superscript"/>
        </w:rPr>
        <w:t>2</w:t>
      </w:r>
      <w:r w:rsidR="00761FEE" w:rsidRPr="00761FEE">
        <w:rPr>
          <w:rFonts w:ascii="Roboto" w:eastAsia="Roboto" w:hAnsi="Roboto" w:cs="Roboto"/>
          <w:color w:val="000000"/>
          <w:sz w:val="18"/>
          <w:szCs w:val="18"/>
        </w:rPr>
        <w:t xml:space="preserve"> </w:t>
      </w:r>
      <w:r w:rsidR="00761FEE">
        <w:rPr>
          <w:rFonts w:ascii="Roboto" w:eastAsia="Roboto" w:hAnsi="Roboto" w:cs="Roboto"/>
          <w:color w:val="000000"/>
          <w:sz w:val="18"/>
          <w:szCs w:val="18"/>
        </w:rPr>
        <w:t>Facultad de Ciencias Actuariales de la Universidad Anáhuac México</w:t>
      </w:r>
      <w:r w:rsidR="006D4989">
        <w:rPr>
          <w:rFonts w:ascii="Roboto" w:eastAsia="Roboto" w:hAnsi="Roboto" w:cs="Roboto"/>
          <w:sz w:val="18"/>
          <w:szCs w:val="18"/>
        </w:rPr>
        <w:t>.</w:t>
      </w:r>
    </w:p>
    <w:p w14:paraId="43D8CCDF" w14:textId="77777777" w:rsidR="00FC5660" w:rsidRDefault="00971D90">
      <w:pPr>
        <w:jc w:val="center"/>
        <w:rPr>
          <w:rFonts w:ascii="Roboto" w:eastAsia="Roboto" w:hAnsi="Roboto" w:cs="Roboto"/>
          <w:sz w:val="18"/>
          <w:szCs w:val="18"/>
        </w:rPr>
      </w:pPr>
      <w:r>
        <w:rPr>
          <w:rFonts w:ascii="Roboto" w:eastAsia="Roboto" w:hAnsi="Roboto" w:cs="Roboto"/>
          <w:sz w:val="18"/>
          <w:szCs w:val="18"/>
        </w:rPr>
        <w:t>*Autor de correspondencia (e-mail:</w:t>
      </w:r>
      <w:r>
        <w:rPr>
          <w:rFonts w:ascii="Roboto" w:eastAsia="Roboto" w:hAnsi="Roboto" w:cs="Roboto"/>
          <w:sz w:val="18"/>
          <w:szCs w:val="18"/>
          <w:highlight w:val="white"/>
        </w:rPr>
        <w:t xml:space="preserve"> </w:t>
      </w:r>
      <w:hyperlink r:id="rId9" w:history="1">
        <w:r w:rsidR="00761FEE" w:rsidRPr="00465B39">
          <w:rPr>
            <w:rStyle w:val="Hipervnculo"/>
            <w:rFonts w:ascii="Roboto" w:eastAsia="Roboto" w:hAnsi="Roboto" w:cs="Roboto"/>
            <w:sz w:val="18"/>
            <w:szCs w:val="18"/>
          </w:rPr>
          <w:t>daniel.lopez@anahuac.mx</w:t>
        </w:r>
      </w:hyperlink>
      <w:r>
        <w:rPr>
          <w:rFonts w:ascii="Roboto" w:eastAsia="Roboto" w:hAnsi="Roboto" w:cs="Roboto"/>
          <w:sz w:val="18"/>
          <w:szCs w:val="18"/>
        </w:rPr>
        <w:t>)</w:t>
      </w:r>
    </w:p>
    <w:p w14:paraId="6F385203" w14:textId="77777777" w:rsidR="00FC5660" w:rsidRDefault="00000000">
      <w:pPr>
        <w:spacing w:before="60"/>
        <w:jc w:val="center"/>
        <w:rPr>
          <w:rFonts w:ascii="Roboto" w:eastAsia="Roboto" w:hAnsi="Roboto" w:cs="Roboto"/>
          <w:sz w:val="18"/>
          <w:szCs w:val="18"/>
        </w:rPr>
        <w:sectPr w:rsidR="00FC5660">
          <w:headerReference w:type="default" r:id="rId10"/>
          <w:pgSz w:w="11906" w:h="16838"/>
          <w:pgMar w:top="851" w:right="851" w:bottom="828" w:left="851" w:header="357" w:footer="720" w:gutter="0"/>
          <w:pgNumType w:start="1"/>
          <w:cols w:space="720"/>
        </w:sectPr>
      </w:pPr>
      <w:r>
        <w:pict w14:anchorId="473CC48C">
          <v:rect id="_x0000_i1025" style="width:0;height:1.5pt" o:hralign="center" o:hrstd="t" o:hr="t" fillcolor="#a0a0a0" stroked="f"/>
        </w:pict>
      </w:r>
    </w:p>
    <w:p w14:paraId="5EAF3679" w14:textId="77777777" w:rsidR="00FC5660" w:rsidRDefault="00BA1D1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 w:rsidRPr="00BA1D17">
        <w:rPr>
          <w:rFonts w:ascii="Roboto" w:eastAsia="Roboto" w:hAnsi="Roboto" w:cs="Roboto"/>
          <w:color w:val="000000"/>
          <w:sz w:val="20"/>
          <w:szCs w:val="20"/>
        </w:rPr>
        <w:t xml:space="preserve">Este proyecto busca aplicar herramientas avanzadas de la teoría de control y juegos estocásticos para abordar el problema de la inseguridad en el transporte de bienes perecederos en regiones como Michoacán. </w:t>
      </w:r>
      <w:r>
        <w:rPr>
          <w:rFonts w:ascii="Roboto" w:eastAsia="Roboto" w:hAnsi="Roboto" w:cs="Roboto"/>
          <w:color w:val="000000"/>
          <w:sz w:val="20"/>
          <w:szCs w:val="20"/>
        </w:rPr>
        <w:t>E</w:t>
      </w:r>
      <w:r w:rsidRPr="00BA1D17">
        <w:rPr>
          <w:rFonts w:ascii="Roboto" w:eastAsia="Roboto" w:hAnsi="Roboto" w:cs="Roboto"/>
          <w:color w:val="000000"/>
          <w:sz w:val="20"/>
          <w:szCs w:val="20"/>
        </w:rPr>
        <w:t>mplea</w:t>
      </w:r>
      <w:r>
        <w:rPr>
          <w:rFonts w:ascii="Roboto" w:eastAsia="Roboto" w:hAnsi="Roboto" w:cs="Roboto"/>
          <w:color w:val="000000"/>
          <w:sz w:val="20"/>
          <w:szCs w:val="20"/>
        </w:rPr>
        <w:t>mos</w:t>
      </w:r>
      <w:r w:rsidRPr="00BA1D17">
        <w:rPr>
          <w:rFonts w:ascii="Roboto" w:eastAsia="Roboto" w:hAnsi="Roboto" w:cs="Roboto"/>
          <w:color w:val="000000"/>
          <w:sz w:val="20"/>
          <w:szCs w:val="20"/>
        </w:rPr>
        <w:t xml:space="preserve"> un enfoque interdisciplinario que combina métodos cuantitativos y cualitativos provenientes de la geografía, 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la </w:t>
      </w:r>
      <w:r w:rsidRPr="00BA1D17">
        <w:rPr>
          <w:rFonts w:ascii="Roboto" w:eastAsia="Roboto" w:hAnsi="Roboto" w:cs="Roboto"/>
          <w:color w:val="000000"/>
          <w:sz w:val="20"/>
          <w:szCs w:val="20"/>
        </w:rPr>
        <w:t xml:space="preserve">psicología, 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la </w:t>
      </w:r>
      <w:r w:rsidRPr="00BA1D17">
        <w:rPr>
          <w:rFonts w:ascii="Roboto" w:eastAsia="Roboto" w:hAnsi="Roboto" w:cs="Roboto"/>
          <w:color w:val="000000"/>
          <w:sz w:val="20"/>
          <w:szCs w:val="20"/>
        </w:rPr>
        <w:t xml:space="preserve">demografía, 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la </w:t>
      </w:r>
      <w:r w:rsidRPr="00BA1D17">
        <w:rPr>
          <w:rFonts w:ascii="Roboto" w:eastAsia="Roboto" w:hAnsi="Roboto" w:cs="Roboto"/>
          <w:color w:val="000000"/>
          <w:sz w:val="20"/>
          <w:szCs w:val="20"/>
        </w:rPr>
        <w:t xml:space="preserve">ciencia de datos, 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la </w:t>
      </w:r>
      <w:r w:rsidRPr="00BA1D17">
        <w:rPr>
          <w:rFonts w:ascii="Roboto" w:eastAsia="Roboto" w:hAnsi="Roboto" w:cs="Roboto"/>
          <w:color w:val="000000"/>
          <w:sz w:val="20"/>
          <w:szCs w:val="20"/>
        </w:rPr>
        <w:t xml:space="preserve">teoría de grafos, 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la </w:t>
      </w:r>
      <w:r w:rsidRPr="00BA1D17">
        <w:rPr>
          <w:rFonts w:ascii="Roboto" w:eastAsia="Roboto" w:hAnsi="Roboto" w:cs="Roboto"/>
          <w:color w:val="000000"/>
          <w:sz w:val="20"/>
          <w:szCs w:val="20"/>
        </w:rPr>
        <w:t>economía conductual,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 la</w:t>
      </w:r>
      <w:r w:rsidRPr="00BA1D17">
        <w:rPr>
          <w:rFonts w:ascii="Roboto" w:eastAsia="Roboto" w:hAnsi="Roboto" w:cs="Roboto"/>
          <w:color w:val="000000"/>
          <w:sz w:val="20"/>
          <w:szCs w:val="20"/>
        </w:rPr>
        <w:t xml:space="preserve"> teoría 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moderna </w:t>
      </w:r>
      <w:r w:rsidRPr="00BA1D17">
        <w:rPr>
          <w:rFonts w:ascii="Roboto" w:eastAsia="Roboto" w:hAnsi="Roboto" w:cs="Roboto"/>
          <w:color w:val="000000"/>
          <w:sz w:val="20"/>
          <w:szCs w:val="20"/>
        </w:rPr>
        <w:t xml:space="preserve">de probabilidades, 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la </w:t>
      </w:r>
      <w:r w:rsidRPr="00BA1D17">
        <w:rPr>
          <w:rFonts w:ascii="Roboto" w:eastAsia="Roboto" w:hAnsi="Roboto" w:cs="Roboto"/>
          <w:color w:val="000000"/>
          <w:sz w:val="20"/>
          <w:szCs w:val="20"/>
        </w:rPr>
        <w:t xml:space="preserve">teoría de la inversión y 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la </w:t>
      </w:r>
      <w:r w:rsidRPr="00BA1D17">
        <w:rPr>
          <w:rFonts w:ascii="Roboto" w:eastAsia="Roboto" w:hAnsi="Roboto" w:cs="Roboto"/>
          <w:color w:val="000000"/>
          <w:sz w:val="20"/>
          <w:szCs w:val="20"/>
        </w:rPr>
        <w:t>educación.</w:t>
      </w:r>
    </w:p>
    <w:p w14:paraId="2F2FD069" w14:textId="77777777" w:rsidR="00A645A6" w:rsidRDefault="00A645A6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</w:p>
    <w:p w14:paraId="3AEFB02D" w14:textId="6661B9E8" w:rsidR="00A645A6" w:rsidRDefault="00A645A6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color w:val="000000"/>
          <w:sz w:val="20"/>
          <w:szCs w:val="20"/>
        </w:rPr>
      </w:pPr>
      <w:r>
        <w:rPr>
          <w:rFonts w:ascii="Roboto" w:eastAsia="Roboto" w:hAnsi="Roboto" w:cs="Roboto"/>
          <w:b/>
          <w:noProof/>
          <w:color w:val="000000"/>
          <w:sz w:val="20"/>
          <w:szCs w:val="20"/>
        </w:rPr>
        <w:drawing>
          <wp:inline distT="0" distB="0" distL="0" distR="0" wp14:anchorId="4E25EE05" wp14:editId="5E303BB7">
            <wp:extent cx="3046739" cy="2066925"/>
            <wp:effectExtent l="0" t="0" r="1270" b="0"/>
            <wp:docPr id="1923296909" name="Imagen 1" descr="Mapa&#10;&#10;El contenido generado por IA puede ser incorrec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23296909" name="Imagen 1" descr="Mapa&#10;&#10;El contenido generado por IA puede ser incorrecto.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49192" cy="20685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49EA06" w14:textId="6B29D39A" w:rsidR="00584DA7" w:rsidRDefault="00584DA7" w:rsidP="00584DA7">
      <w:pP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b/>
          <w:sz w:val="20"/>
          <w:szCs w:val="20"/>
        </w:rPr>
        <w:t>Figura 1</w:t>
      </w:r>
      <w:r>
        <w:rPr>
          <w:rFonts w:ascii="Roboto" w:eastAsia="Roboto" w:hAnsi="Roboto" w:cs="Roboto"/>
          <w:sz w:val="20"/>
          <w:szCs w:val="20"/>
        </w:rPr>
        <w:t xml:space="preserve">. Franja aguacatera en Michoacán. Fuente: </w:t>
      </w:r>
      <w:sdt>
        <w:sdtPr>
          <w:rPr>
            <w:rFonts w:ascii="Roboto" w:eastAsia="Roboto" w:hAnsi="Roboto" w:cs="Roboto"/>
            <w:sz w:val="20"/>
            <w:szCs w:val="20"/>
          </w:rPr>
          <w:id w:val="-1543978581"/>
          <w:citation/>
        </w:sdtPr>
        <w:sdtContent>
          <w:r>
            <w:rPr>
              <w:rFonts w:ascii="Roboto" w:eastAsia="Roboto" w:hAnsi="Roboto" w:cs="Roboto"/>
              <w:sz w:val="20"/>
              <w:szCs w:val="20"/>
            </w:rPr>
            <w:fldChar w:fldCharType="begin"/>
          </w:r>
          <w:r>
            <w:rPr>
              <w:rFonts w:ascii="Roboto" w:eastAsia="Roboto" w:hAnsi="Roboto" w:cs="Roboto"/>
              <w:sz w:val="20"/>
              <w:szCs w:val="20"/>
            </w:rPr>
            <w:instrText xml:space="preserve"> CITATION Gut10 \l 2058 </w:instrText>
          </w:r>
          <w:r>
            <w:rPr>
              <w:rFonts w:ascii="Roboto" w:eastAsia="Roboto" w:hAnsi="Roboto" w:cs="Roboto"/>
              <w:sz w:val="20"/>
              <w:szCs w:val="20"/>
            </w:rPr>
            <w:fldChar w:fldCharType="separate"/>
          </w:r>
          <w:r w:rsidR="001D5A86" w:rsidRPr="001D5A86">
            <w:rPr>
              <w:rFonts w:ascii="Roboto" w:eastAsia="Roboto" w:hAnsi="Roboto" w:cs="Roboto"/>
              <w:noProof/>
              <w:sz w:val="20"/>
              <w:szCs w:val="20"/>
            </w:rPr>
            <w:t>(Gutiérrez-Contreras, Lara-Chávez, Guillén-Andrade, &amp; Chávez-Bárcenas, 2010)</w:t>
          </w:r>
          <w:r>
            <w:rPr>
              <w:rFonts w:ascii="Roboto" w:eastAsia="Roboto" w:hAnsi="Roboto" w:cs="Roboto"/>
              <w:sz w:val="20"/>
              <w:szCs w:val="20"/>
            </w:rPr>
            <w:fldChar w:fldCharType="end"/>
          </w:r>
        </w:sdtContent>
      </w:sdt>
    </w:p>
    <w:p w14:paraId="72A3937C" w14:textId="77777777" w:rsidR="00584DA7" w:rsidRDefault="00584DA7" w:rsidP="00584DA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</w:p>
    <w:p w14:paraId="31AD1B50" w14:textId="528001C4" w:rsidR="00FC5660" w:rsidRDefault="00584DA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color w:val="000000"/>
          <w:sz w:val="20"/>
          <w:szCs w:val="20"/>
        </w:rPr>
      </w:pPr>
      <w:r>
        <w:rPr>
          <w:rFonts w:ascii="Roboto" w:eastAsia="Roboto" w:hAnsi="Roboto" w:cs="Roboto"/>
          <w:b/>
          <w:color w:val="000000"/>
          <w:sz w:val="20"/>
          <w:szCs w:val="20"/>
        </w:rPr>
        <w:t>PRIMERA FASE: EVALUACIÓN DE LA FACTIBILIDAD DEL MÉTODO DE VORONOI</w:t>
      </w:r>
    </w:p>
    <w:p w14:paraId="58FDA1A1" w14:textId="2E90D899" w:rsidR="00FC5660" w:rsidRDefault="00A645A6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>
        <w:rPr>
          <w:rFonts w:ascii="Roboto" w:eastAsia="Roboto" w:hAnsi="Roboto" w:cs="Roboto"/>
          <w:color w:val="000000"/>
          <w:sz w:val="20"/>
          <w:szCs w:val="20"/>
        </w:rPr>
        <w:t xml:space="preserve">En primer lugar, evaluamos </w:t>
      </w:r>
      <w:r w:rsidRPr="00BA1D17">
        <w:rPr>
          <w:rFonts w:ascii="Roboto" w:eastAsia="Roboto" w:hAnsi="Roboto" w:cs="Roboto"/>
          <w:color w:val="000000"/>
          <w:sz w:val="20"/>
          <w:szCs w:val="20"/>
        </w:rPr>
        <w:t xml:space="preserve">el uso de diagramas de Voronoi 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--vea el libro de </w:t>
      </w:r>
      <w:sdt>
        <w:sdtPr>
          <w:rPr>
            <w:rFonts w:ascii="Roboto" w:eastAsia="Roboto" w:hAnsi="Roboto" w:cs="Roboto"/>
            <w:color w:val="000000"/>
            <w:sz w:val="20"/>
            <w:szCs w:val="20"/>
          </w:rPr>
          <w:id w:val="-1890872720"/>
          <w:citation/>
        </w:sdtPr>
        <w:sdtContent>
          <w:r>
            <w:rPr>
              <w:rFonts w:ascii="Roboto" w:eastAsia="Roboto" w:hAnsi="Roboto" w:cs="Roboto"/>
              <w:color w:val="000000"/>
              <w:sz w:val="20"/>
              <w:szCs w:val="20"/>
            </w:rPr>
            <w:fldChar w:fldCharType="begin"/>
          </w:r>
          <w:r>
            <w:rPr>
              <w:rFonts w:ascii="Roboto" w:eastAsia="Roboto" w:hAnsi="Roboto" w:cs="Roboto"/>
              <w:color w:val="000000"/>
              <w:sz w:val="20"/>
              <w:szCs w:val="20"/>
            </w:rPr>
            <w:instrText xml:space="preserve"> CITATION Aur13 \l 2058 </w:instrText>
          </w:r>
          <w:r>
            <w:rPr>
              <w:rFonts w:ascii="Roboto" w:eastAsia="Roboto" w:hAnsi="Roboto" w:cs="Roboto"/>
              <w:color w:val="000000"/>
              <w:sz w:val="20"/>
              <w:szCs w:val="20"/>
            </w:rPr>
            <w:fldChar w:fldCharType="separate"/>
          </w:r>
          <w:r w:rsidR="001D5A86" w:rsidRPr="001D5A86">
            <w:rPr>
              <w:rFonts w:ascii="Roboto" w:eastAsia="Roboto" w:hAnsi="Roboto" w:cs="Roboto"/>
              <w:noProof/>
              <w:color w:val="000000"/>
              <w:sz w:val="20"/>
              <w:szCs w:val="20"/>
            </w:rPr>
            <w:t>(Aurenhammer, Klein, &amp; Lee, 2013)</w:t>
          </w:r>
          <w:r>
            <w:rPr>
              <w:rFonts w:ascii="Roboto" w:eastAsia="Roboto" w:hAnsi="Roboto" w:cs="Roboto"/>
              <w:color w:val="000000"/>
              <w:sz w:val="20"/>
              <w:szCs w:val="20"/>
            </w:rPr>
            <w:fldChar w:fldCharType="end"/>
          </w:r>
        </w:sdtContent>
      </w:sdt>
      <w:r>
        <w:rPr>
          <w:rFonts w:ascii="Roboto" w:eastAsia="Roboto" w:hAnsi="Roboto" w:cs="Roboto"/>
          <w:color w:val="000000"/>
          <w:sz w:val="20"/>
          <w:szCs w:val="20"/>
        </w:rPr>
        <w:t xml:space="preserve">- </w:t>
      </w:r>
      <w:r w:rsidRPr="00BA1D17">
        <w:rPr>
          <w:rFonts w:ascii="Roboto" w:eastAsia="Roboto" w:hAnsi="Roboto" w:cs="Roboto"/>
          <w:color w:val="000000"/>
          <w:sz w:val="20"/>
          <w:szCs w:val="20"/>
        </w:rPr>
        <w:t>para localizar plantas de empaque, comparando con técnicas de clasificación como análisis discriminante, los k-NN, los árboles de decisión, las máquinas de vector soporte, las redes neuronales y los clasificadores Bayesianos.</w:t>
      </w:r>
    </w:p>
    <w:p w14:paraId="1891B5C7" w14:textId="3051B187" w:rsidR="00584DA7" w:rsidRDefault="00584DA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color w:val="000000"/>
          <w:sz w:val="20"/>
          <w:szCs w:val="20"/>
        </w:rPr>
      </w:pPr>
      <w:r>
        <w:rPr>
          <w:rFonts w:ascii="Roboto" w:eastAsia="Roboto" w:hAnsi="Roboto" w:cs="Roboto"/>
          <w:b/>
          <w:noProof/>
          <w:color w:val="000000"/>
          <w:sz w:val="20"/>
          <w:szCs w:val="20"/>
        </w:rPr>
        <w:drawing>
          <wp:inline distT="0" distB="0" distL="0" distR="0" wp14:anchorId="491442F0" wp14:editId="51C719A9">
            <wp:extent cx="3076809" cy="1666875"/>
            <wp:effectExtent l="0" t="0" r="9525" b="0"/>
            <wp:docPr id="561994070" name="Imagen 2" descr="Gráfico&#10;&#10;El contenido generado por IA puede ser incorrec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1994070" name="Imagen 2" descr="Gráfico&#10;&#10;El contenido generado por IA puede ser incorrecto.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84347" cy="16709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3570798" w14:textId="4D3C6700" w:rsidR="00584DA7" w:rsidRDefault="00584DA7" w:rsidP="00584DA7">
      <w:pPr>
        <w:jc w:val="both"/>
        <w:rPr>
          <w:rFonts w:ascii="Roboto" w:eastAsia="Roboto" w:hAnsi="Roboto" w:cs="Roboto"/>
          <w:color w:val="000000"/>
          <w:sz w:val="20"/>
          <w:szCs w:val="20"/>
        </w:rPr>
      </w:pPr>
      <w:r>
        <w:rPr>
          <w:rFonts w:ascii="Roboto" w:eastAsia="Roboto" w:hAnsi="Roboto" w:cs="Roboto"/>
          <w:b/>
          <w:sz w:val="20"/>
          <w:szCs w:val="20"/>
        </w:rPr>
        <w:t xml:space="preserve">Figura </w:t>
      </w:r>
      <w:r>
        <w:rPr>
          <w:rFonts w:ascii="Roboto" w:eastAsia="Roboto" w:hAnsi="Roboto" w:cs="Roboto"/>
          <w:b/>
          <w:sz w:val="20"/>
          <w:szCs w:val="20"/>
        </w:rPr>
        <w:t>2</w:t>
      </w:r>
      <w:r>
        <w:rPr>
          <w:rFonts w:ascii="Roboto" w:eastAsia="Roboto" w:hAnsi="Roboto" w:cs="Roboto"/>
          <w:sz w:val="20"/>
          <w:szCs w:val="20"/>
        </w:rPr>
        <w:t xml:space="preserve">. </w:t>
      </w:r>
      <w:r>
        <w:rPr>
          <w:rFonts w:ascii="Roboto" w:eastAsia="Roboto" w:hAnsi="Roboto" w:cs="Roboto"/>
          <w:sz w:val="20"/>
          <w:szCs w:val="20"/>
        </w:rPr>
        <w:t>Teselación de Voronoi</w:t>
      </w:r>
      <w:r>
        <w:rPr>
          <w:rFonts w:ascii="Roboto" w:eastAsia="Roboto" w:hAnsi="Roboto" w:cs="Roboto"/>
          <w:sz w:val="20"/>
          <w:szCs w:val="20"/>
        </w:rPr>
        <w:t>. Fuente:</w:t>
      </w:r>
      <w:r>
        <w:rPr>
          <w:rFonts w:ascii="Roboto" w:eastAsia="Roboto" w:hAnsi="Roboto" w:cs="Roboto"/>
          <w:sz w:val="20"/>
          <w:szCs w:val="20"/>
        </w:rPr>
        <w:t xml:space="preserve"> </w:t>
      </w:r>
      <w:sdt>
        <w:sdtPr>
          <w:rPr>
            <w:rFonts w:ascii="Roboto" w:eastAsia="Roboto" w:hAnsi="Roboto" w:cs="Roboto"/>
            <w:sz w:val="20"/>
            <w:szCs w:val="20"/>
          </w:rPr>
          <w:id w:val="-84529094"/>
          <w:citation/>
        </w:sdtPr>
        <w:sdtContent>
          <w:r>
            <w:rPr>
              <w:rFonts w:ascii="Roboto" w:eastAsia="Roboto" w:hAnsi="Roboto" w:cs="Roboto"/>
              <w:sz w:val="20"/>
              <w:szCs w:val="20"/>
            </w:rPr>
            <w:fldChar w:fldCharType="begin"/>
          </w:r>
          <w:r>
            <w:rPr>
              <w:rFonts w:ascii="Roboto" w:eastAsia="Roboto" w:hAnsi="Roboto" w:cs="Roboto"/>
              <w:sz w:val="20"/>
              <w:szCs w:val="20"/>
            </w:rPr>
            <w:instrText xml:space="preserve"> CITATION Lóp251 \l 2058 </w:instrText>
          </w:r>
          <w:r>
            <w:rPr>
              <w:rFonts w:ascii="Roboto" w:eastAsia="Roboto" w:hAnsi="Roboto" w:cs="Roboto"/>
              <w:sz w:val="20"/>
              <w:szCs w:val="20"/>
            </w:rPr>
            <w:fldChar w:fldCharType="separate"/>
          </w:r>
          <w:r w:rsidR="001D5A86" w:rsidRPr="001D5A86">
            <w:rPr>
              <w:rFonts w:ascii="Roboto" w:eastAsia="Roboto" w:hAnsi="Roboto" w:cs="Roboto"/>
              <w:noProof/>
              <w:sz w:val="20"/>
              <w:szCs w:val="20"/>
            </w:rPr>
            <w:t>(López-Barrientos, Flores-Herrera, Fernández-Arias, &amp; Escobedo-Trujillo, 2025)</w:t>
          </w:r>
          <w:r>
            <w:rPr>
              <w:rFonts w:ascii="Roboto" w:eastAsia="Roboto" w:hAnsi="Roboto" w:cs="Roboto"/>
              <w:sz w:val="20"/>
              <w:szCs w:val="20"/>
            </w:rPr>
            <w:fldChar w:fldCharType="end"/>
          </w:r>
        </w:sdtContent>
      </w:sdt>
      <w:r>
        <w:rPr>
          <w:rFonts w:ascii="Roboto" w:eastAsia="Roboto" w:hAnsi="Roboto" w:cs="Roboto"/>
          <w:sz w:val="20"/>
          <w:szCs w:val="20"/>
        </w:rPr>
        <w:t>.</w:t>
      </w:r>
    </w:p>
    <w:p w14:paraId="152E87F7" w14:textId="77777777" w:rsidR="00FC5660" w:rsidRDefault="00FC566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color w:val="000000"/>
          <w:sz w:val="20"/>
          <w:szCs w:val="20"/>
        </w:rPr>
      </w:pPr>
    </w:p>
    <w:p w14:paraId="52061ECE" w14:textId="77777777" w:rsidR="00584DA7" w:rsidRDefault="00584DA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color w:val="000000"/>
          <w:sz w:val="20"/>
          <w:szCs w:val="20"/>
        </w:rPr>
      </w:pPr>
    </w:p>
    <w:p w14:paraId="3522C67A" w14:textId="7D5F7485" w:rsidR="00FC5660" w:rsidRDefault="00584DA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color w:val="000000"/>
          <w:sz w:val="20"/>
          <w:szCs w:val="20"/>
        </w:rPr>
      </w:pPr>
      <w:r>
        <w:rPr>
          <w:rFonts w:ascii="Roboto" w:eastAsia="Roboto" w:hAnsi="Roboto" w:cs="Roboto"/>
          <w:b/>
          <w:color w:val="000000"/>
          <w:sz w:val="20"/>
          <w:szCs w:val="20"/>
        </w:rPr>
        <w:t>SEGUNDA FASE: MODELACIÓN DE LA CRIMINALIDAD</w:t>
      </w:r>
    </w:p>
    <w:p w14:paraId="4FB63705" w14:textId="5994620C" w:rsidR="00557F1F" w:rsidRDefault="00A645A6" w:rsidP="00557F1F">
      <w:pPr>
        <w:keepNext/>
        <w:jc w:val="both"/>
        <w:rPr>
          <w:rFonts w:ascii="Roboto" w:eastAsia="Roboto" w:hAnsi="Roboto" w:cs="Roboto"/>
          <w:b/>
          <w:sz w:val="20"/>
          <w:szCs w:val="20"/>
        </w:rPr>
      </w:pPr>
      <w:r>
        <w:rPr>
          <w:rFonts w:ascii="Roboto" w:eastAsia="Roboto" w:hAnsi="Roboto" w:cs="Roboto"/>
          <w:color w:val="000000"/>
          <w:sz w:val="20"/>
          <w:szCs w:val="20"/>
        </w:rPr>
        <w:t>A</w:t>
      </w:r>
      <w:r w:rsidRPr="0077418B">
        <w:rPr>
          <w:rFonts w:ascii="Roboto" w:eastAsia="Roboto" w:hAnsi="Roboto" w:cs="Roboto"/>
          <w:color w:val="000000"/>
          <w:sz w:val="20"/>
          <w:szCs w:val="20"/>
        </w:rPr>
        <w:t xml:space="preserve">justaremos un proceso estocástico a la incidencia del crimen en las actividades económicas. En la versión original del proyecto, </w:t>
      </w:r>
      <w:sdt>
        <w:sdtPr>
          <w:rPr>
            <w:rFonts w:ascii="Roboto" w:eastAsia="Roboto" w:hAnsi="Roboto" w:cs="Roboto"/>
            <w:color w:val="000000"/>
            <w:sz w:val="20"/>
            <w:szCs w:val="20"/>
          </w:rPr>
          <w:id w:val="7495340"/>
          <w:citation/>
        </w:sdtPr>
        <w:sdtContent>
          <w:r>
            <w:rPr>
              <w:rFonts w:ascii="Roboto" w:eastAsia="Roboto" w:hAnsi="Roboto" w:cs="Roboto"/>
              <w:color w:val="000000"/>
              <w:sz w:val="20"/>
              <w:szCs w:val="20"/>
            </w:rPr>
            <w:fldChar w:fldCharType="begin"/>
          </w:r>
          <w:r>
            <w:rPr>
              <w:rFonts w:ascii="Roboto" w:eastAsia="Roboto" w:hAnsi="Roboto" w:cs="Roboto"/>
              <w:color w:val="000000"/>
              <w:sz w:val="20"/>
              <w:szCs w:val="20"/>
            </w:rPr>
            <w:instrText xml:space="preserve"> CITATION Lóp251 \l 2058 </w:instrText>
          </w:r>
          <w:r>
            <w:rPr>
              <w:rFonts w:ascii="Roboto" w:eastAsia="Roboto" w:hAnsi="Roboto" w:cs="Roboto"/>
              <w:color w:val="000000"/>
              <w:sz w:val="20"/>
              <w:szCs w:val="20"/>
            </w:rPr>
            <w:fldChar w:fldCharType="separate"/>
          </w:r>
          <w:r w:rsidR="001D5A86" w:rsidRPr="001D5A86">
            <w:rPr>
              <w:rFonts w:ascii="Roboto" w:eastAsia="Roboto" w:hAnsi="Roboto" w:cs="Roboto"/>
              <w:noProof/>
              <w:color w:val="000000"/>
              <w:sz w:val="20"/>
              <w:szCs w:val="20"/>
            </w:rPr>
            <w:t>(López-Barrientos, Flores-Herrera, Fernández-Arias, &amp; Escobedo-Trujillo, 2025)</w:t>
          </w:r>
          <w:r>
            <w:rPr>
              <w:rFonts w:ascii="Roboto" w:eastAsia="Roboto" w:hAnsi="Roboto" w:cs="Roboto"/>
              <w:color w:val="000000"/>
              <w:sz w:val="20"/>
              <w:szCs w:val="20"/>
            </w:rPr>
            <w:fldChar w:fldCharType="end"/>
          </w:r>
        </w:sdtContent>
      </w:sdt>
      <w:r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 w:rsidRPr="0077418B">
        <w:rPr>
          <w:rFonts w:ascii="Roboto" w:eastAsia="Roboto" w:hAnsi="Roboto" w:cs="Roboto"/>
          <w:color w:val="000000"/>
          <w:sz w:val="20"/>
          <w:szCs w:val="20"/>
        </w:rPr>
        <w:t xml:space="preserve">usaron la 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edición de 2023 de la </w:t>
      </w:r>
      <w:r w:rsidRPr="0077418B">
        <w:rPr>
          <w:rFonts w:ascii="Roboto" w:eastAsia="Roboto" w:hAnsi="Roboto" w:cs="Roboto"/>
          <w:color w:val="000000"/>
          <w:sz w:val="20"/>
          <w:szCs w:val="20"/>
        </w:rPr>
        <w:t xml:space="preserve">Encuesta Nacional de Victimización de y Percepción sobre Seguridad Pública, elaborada por </w:t>
      </w:r>
      <w:r>
        <w:rPr>
          <w:rFonts w:ascii="Roboto" w:eastAsia="Roboto" w:hAnsi="Roboto" w:cs="Roboto"/>
          <w:color w:val="000000"/>
          <w:sz w:val="20"/>
          <w:szCs w:val="20"/>
        </w:rPr>
        <w:t>el INEGI</w:t>
      </w:r>
      <w:r w:rsidRPr="0077418B">
        <w:rPr>
          <w:rFonts w:ascii="Roboto" w:eastAsia="Roboto" w:hAnsi="Roboto" w:cs="Roboto"/>
          <w:color w:val="000000"/>
          <w:sz w:val="20"/>
          <w:szCs w:val="20"/>
        </w:rPr>
        <w:t xml:space="preserve">. Sin embargo, </w:t>
      </w:r>
      <w:r w:rsidR="008859EE">
        <w:rPr>
          <w:rFonts w:ascii="Roboto" w:eastAsia="Roboto" w:hAnsi="Roboto" w:cs="Roboto"/>
          <w:color w:val="000000"/>
          <w:sz w:val="20"/>
          <w:szCs w:val="20"/>
        </w:rPr>
        <w:t>par</w:t>
      </w:r>
      <w:r w:rsidRPr="0077418B">
        <w:rPr>
          <w:rFonts w:ascii="Roboto" w:eastAsia="Roboto" w:hAnsi="Roboto" w:cs="Roboto"/>
          <w:color w:val="000000"/>
          <w:sz w:val="20"/>
          <w:szCs w:val="20"/>
        </w:rPr>
        <w:t xml:space="preserve">a </w:t>
      </w:r>
      <w:r w:rsidR="008859EE">
        <w:rPr>
          <w:rFonts w:ascii="Roboto" w:eastAsia="Roboto" w:hAnsi="Roboto" w:cs="Roboto"/>
          <w:color w:val="000000"/>
          <w:sz w:val="20"/>
          <w:szCs w:val="20"/>
        </w:rPr>
        <w:t xml:space="preserve">esta investigación, </w:t>
      </w:r>
      <w:r w:rsidR="008859EE">
        <w:rPr>
          <w:rFonts w:ascii="Roboto" w:eastAsia="Roboto" w:hAnsi="Roboto" w:cs="Roboto"/>
          <w:color w:val="000000"/>
          <w:sz w:val="20"/>
          <w:szCs w:val="20"/>
        </w:rPr>
        <w:t xml:space="preserve">tomamos en cuenta los </w:t>
      </w:r>
      <w:r w:rsidR="008859EE" w:rsidRPr="00BA1D17">
        <w:rPr>
          <w:rFonts w:ascii="Roboto" w:eastAsia="Roboto" w:hAnsi="Roboto" w:cs="Roboto"/>
          <w:color w:val="000000"/>
          <w:sz w:val="20"/>
          <w:szCs w:val="20"/>
        </w:rPr>
        <w:t xml:space="preserve">datos de </w:t>
      </w:r>
      <w:sdt>
        <w:sdtPr>
          <w:rPr>
            <w:rFonts w:ascii="Roboto" w:eastAsia="Roboto" w:hAnsi="Roboto" w:cs="Roboto"/>
            <w:color w:val="000000"/>
            <w:sz w:val="20"/>
            <w:szCs w:val="20"/>
          </w:rPr>
          <w:id w:val="-350955852"/>
          <w:citation/>
        </w:sdtPr>
        <w:sdtContent>
          <w:r w:rsidR="008859EE">
            <w:rPr>
              <w:rFonts w:ascii="Roboto" w:eastAsia="Roboto" w:hAnsi="Roboto" w:cs="Roboto"/>
              <w:color w:val="000000"/>
              <w:sz w:val="20"/>
              <w:szCs w:val="20"/>
            </w:rPr>
            <w:fldChar w:fldCharType="begin"/>
          </w:r>
          <w:r w:rsidR="008859EE">
            <w:rPr>
              <w:rFonts w:ascii="Roboto" w:eastAsia="Roboto" w:hAnsi="Roboto" w:cs="Roboto"/>
              <w:color w:val="000000"/>
              <w:sz w:val="20"/>
              <w:szCs w:val="20"/>
            </w:rPr>
            <w:instrText xml:space="preserve"> CITATION Ove23 \l 2058 </w:instrText>
          </w:r>
          <w:r w:rsidR="008859EE">
            <w:rPr>
              <w:rFonts w:ascii="Roboto" w:eastAsia="Roboto" w:hAnsi="Roboto" w:cs="Roboto"/>
              <w:color w:val="000000"/>
              <w:sz w:val="20"/>
              <w:szCs w:val="20"/>
            </w:rPr>
            <w:fldChar w:fldCharType="separate"/>
          </w:r>
          <w:r w:rsidR="001D5A86" w:rsidRPr="001D5A86">
            <w:rPr>
              <w:rFonts w:ascii="Roboto" w:eastAsia="Roboto" w:hAnsi="Roboto" w:cs="Roboto"/>
              <w:noProof/>
              <w:color w:val="000000"/>
              <w:sz w:val="20"/>
              <w:szCs w:val="20"/>
            </w:rPr>
            <w:t>(Overhaul, 2023)</w:t>
          </w:r>
          <w:r w:rsidR="008859EE">
            <w:rPr>
              <w:rFonts w:ascii="Roboto" w:eastAsia="Roboto" w:hAnsi="Roboto" w:cs="Roboto"/>
              <w:color w:val="000000"/>
              <w:sz w:val="20"/>
              <w:szCs w:val="20"/>
            </w:rPr>
            <w:fldChar w:fldCharType="end"/>
          </w:r>
        </w:sdtContent>
      </w:sdt>
      <w:r w:rsidR="008859EE">
        <w:rPr>
          <w:rFonts w:ascii="Roboto" w:eastAsia="Roboto" w:hAnsi="Roboto" w:cs="Roboto"/>
          <w:color w:val="000000"/>
          <w:sz w:val="20"/>
          <w:szCs w:val="20"/>
        </w:rPr>
        <w:t xml:space="preserve">, </w:t>
      </w:r>
      <w:sdt>
        <w:sdtPr>
          <w:rPr>
            <w:rFonts w:ascii="Roboto" w:eastAsia="Roboto" w:hAnsi="Roboto" w:cs="Roboto"/>
            <w:color w:val="000000"/>
            <w:sz w:val="20"/>
            <w:szCs w:val="20"/>
          </w:rPr>
          <w:id w:val="1999681829"/>
          <w:citation/>
        </w:sdtPr>
        <w:sdtContent>
          <w:r w:rsidR="008859EE">
            <w:rPr>
              <w:rFonts w:ascii="Roboto" w:eastAsia="Roboto" w:hAnsi="Roboto" w:cs="Roboto"/>
              <w:color w:val="000000"/>
              <w:sz w:val="20"/>
              <w:szCs w:val="20"/>
            </w:rPr>
            <w:fldChar w:fldCharType="begin"/>
          </w:r>
          <w:r w:rsidR="008859EE">
            <w:rPr>
              <w:rFonts w:ascii="Roboto" w:eastAsia="Roboto" w:hAnsi="Roboto" w:cs="Roboto"/>
              <w:color w:val="000000"/>
              <w:sz w:val="20"/>
              <w:szCs w:val="20"/>
            </w:rPr>
            <w:instrText xml:space="preserve"> CITATION Ove24 \l 2058 </w:instrText>
          </w:r>
          <w:r w:rsidR="008859EE">
            <w:rPr>
              <w:rFonts w:ascii="Roboto" w:eastAsia="Roboto" w:hAnsi="Roboto" w:cs="Roboto"/>
              <w:color w:val="000000"/>
              <w:sz w:val="20"/>
              <w:szCs w:val="20"/>
            </w:rPr>
            <w:fldChar w:fldCharType="separate"/>
          </w:r>
          <w:r w:rsidR="001D5A86" w:rsidRPr="001D5A86">
            <w:rPr>
              <w:rFonts w:ascii="Roboto" w:eastAsia="Roboto" w:hAnsi="Roboto" w:cs="Roboto"/>
              <w:noProof/>
              <w:color w:val="000000"/>
              <w:sz w:val="20"/>
              <w:szCs w:val="20"/>
            </w:rPr>
            <w:t>(Overhaul, 2024)</w:t>
          </w:r>
          <w:r w:rsidR="008859EE">
            <w:rPr>
              <w:rFonts w:ascii="Roboto" w:eastAsia="Roboto" w:hAnsi="Roboto" w:cs="Roboto"/>
              <w:color w:val="000000"/>
              <w:sz w:val="20"/>
              <w:szCs w:val="20"/>
            </w:rPr>
            <w:fldChar w:fldCharType="end"/>
          </w:r>
        </w:sdtContent>
      </w:sdt>
      <w:r w:rsidR="008859EE">
        <w:rPr>
          <w:rFonts w:ascii="Roboto" w:eastAsia="Roboto" w:hAnsi="Roboto" w:cs="Roboto"/>
          <w:color w:val="000000"/>
          <w:sz w:val="20"/>
          <w:szCs w:val="20"/>
        </w:rPr>
        <w:t xml:space="preserve">. </w:t>
      </w:r>
      <w:r w:rsidR="008859EE">
        <w:rPr>
          <w:rFonts w:ascii="Roboto" w:eastAsia="Roboto" w:hAnsi="Roboto" w:cs="Roboto"/>
          <w:color w:val="000000"/>
          <w:sz w:val="20"/>
          <w:szCs w:val="20"/>
        </w:rPr>
        <w:t>Asimismo,</w:t>
      </w:r>
      <w:r w:rsidR="008859EE">
        <w:rPr>
          <w:rFonts w:ascii="Roboto" w:eastAsia="Roboto" w:hAnsi="Roboto" w:cs="Roboto"/>
          <w:color w:val="000000"/>
          <w:sz w:val="20"/>
          <w:szCs w:val="20"/>
        </w:rPr>
        <w:t xml:space="preserve"> a</w:t>
      </w:r>
      <w:r w:rsidR="008859EE" w:rsidRPr="0077418B"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 w:rsidRPr="0077418B">
        <w:rPr>
          <w:rFonts w:ascii="Roboto" w:eastAsia="Roboto" w:hAnsi="Roboto" w:cs="Roboto"/>
          <w:color w:val="000000"/>
          <w:sz w:val="20"/>
          <w:szCs w:val="20"/>
        </w:rPr>
        <w:t xml:space="preserve">sugerencia expresa de la presidente y los </w:t>
      </w:r>
      <w:r>
        <w:rPr>
          <w:rFonts w:ascii="Roboto" w:eastAsia="Roboto" w:hAnsi="Roboto" w:cs="Roboto"/>
          <w:color w:val="000000"/>
          <w:sz w:val="20"/>
          <w:szCs w:val="20"/>
        </w:rPr>
        <w:t>v</w:t>
      </w:r>
      <w:r w:rsidRPr="0077418B">
        <w:rPr>
          <w:rFonts w:ascii="Roboto" w:eastAsia="Roboto" w:hAnsi="Roboto" w:cs="Roboto"/>
          <w:color w:val="000000"/>
          <w:sz w:val="20"/>
          <w:szCs w:val="20"/>
        </w:rPr>
        <w:t xml:space="preserve">icepresidentes del INEGI, </w:t>
      </w:r>
      <w:r w:rsidR="008859EE">
        <w:rPr>
          <w:rFonts w:ascii="Roboto" w:eastAsia="Roboto" w:hAnsi="Roboto" w:cs="Roboto"/>
          <w:color w:val="000000"/>
          <w:sz w:val="20"/>
          <w:szCs w:val="20"/>
        </w:rPr>
        <w:t xml:space="preserve">también </w:t>
      </w:r>
      <w:r w:rsidRPr="0077418B">
        <w:rPr>
          <w:rFonts w:ascii="Roboto" w:eastAsia="Roboto" w:hAnsi="Roboto" w:cs="Roboto"/>
          <w:color w:val="000000"/>
          <w:sz w:val="20"/>
          <w:szCs w:val="20"/>
        </w:rPr>
        <w:t>emplea</w:t>
      </w:r>
      <w:r w:rsidR="008859EE">
        <w:rPr>
          <w:rFonts w:ascii="Roboto" w:eastAsia="Roboto" w:hAnsi="Roboto" w:cs="Roboto"/>
          <w:color w:val="000000"/>
          <w:sz w:val="20"/>
          <w:szCs w:val="20"/>
        </w:rPr>
        <w:t>mos</w:t>
      </w:r>
      <w:r w:rsidRPr="0077418B">
        <w:rPr>
          <w:rFonts w:ascii="Roboto" w:eastAsia="Roboto" w:hAnsi="Roboto" w:cs="Roboto"/>
          <w:color w:val="000000"/>
          <w:sz w:val="20"/>
          <w:szCs w:val="20"/>
        </w:rPr>
        <w:t xml:space="preserve"> las Encuestas Nacionales de Victimización de Empresas </w:t>
      </w:r>
      <w:r w:rsidR="008859EE">
        <w:rPr>
          <w:rFonts w:ascii="Roboto" w:eastAsia="Roboto" w:hAnsi="Roboto" w:cs="Roboto"/>
          <w:color w:val="000000"/>
          <w:sz w:val="20"/>
          <w:szCs w:val="20"/>
        </w:rPr>
        <w:t>(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en el periodo comprendido entre </w:t>
      </w:r>
      <w:r w:rsidRPr="0077418B">
        <w:rPr>
          <w:rFonts w:ascii="Roboto" w:eastAsia="Roboto" w:hAnsi="Roboto" w:cs="Roboto"/>
          <w:color w:val="000000"/>
          <w:sz w:val="20"/>
          <w:szCs w:val="20"/>
        </w:rPr>
        <w:t>2012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 y </w:t>
      </w:r>
      <w:r w:rsidRPr="0077418B">
        <w:rPr>
          <w:rFonts w:ascii="Roboto" w:eastAsia="Roboto" w:hAnsi="Roboto" w:cs="Roboto"/>
          <w:color w:val="000000"/>
          <w:sz w:val="20"/>
          <w:szCs w:val="20"/>
        </w:rPr>
        <w:t xml:space="preserve">2024) elaborados por </w:t>
      </w:r>
      <w:r>
        <w:rPr>
          <w:rFonts w:ascii="Roboto" w:eastAsia="Roboto" w:hAnsi="Roboto" w:cs="Roboto"/>
          <w:color w:val="000000"/>
          <w:sz w:val="20"/>
          <w:szCs w:val="20"/>
        </w:rPr>
        <w:t>el mismo instituto</w:t>
      </w:r>
      <w:r w:rsidRPr="0077418B">
        <w:rPr>
          <w:rFonts w:ascii="Roboto" w:eastAsia="Roboto" w:hAnsi="Roboto" w:cs="Roboto"/>
          <w:color w:val="000000"/>
          <w:sz w:val="20"/>
          <w:szCs w:val="20"/>
        </w:rPr>
        <w:t>, y complementa</w:t>
      </w:r>
      <w:r w:rsidR="008859EE">
        <w:rPr>
          <w:rFonts w:ascii="Roboto" w:eastAsia="Roboto" w:hAnsi="Roboto" w:cs="Roboto"/>
          <w:color w:val="000000"/>
          <w:sz w:val="20"/>
          <w:szCs w:val="20"/>
        </w:rPr>
        <w:t>mos</w:t>
      </w:r>
      <w:r w:rsidRPr="0077418B">
        <w:rPr>
          <w:rFonts w:ascii="Roboto" w:eastAsia="Roboto" w:hAnsi="Roboto" w:cs="Roboto"/>
          <w:color w:val="000000"/>
          <w:sz w:val="20"/>
          <w:szCs w:val="20"/>
        </w:rPr>
        <w:t xml:space="preserve"> esta información con la de los censos agropecuario (indicadores 22 y 24) y económico del </w:t>
      </w:r>
      <w:r>
        <w:rPr>
          <w:rFonts w:ascii="Roboto" w:eastAsia="Roboto" w:hAnsi="Roboto" w:cs="Roboto"/>
          <w:color w:val="000000"/>
          <w:sz w:val="20"/>
          <w:szCs w:val="20"/>
        </w:rPr>
        <w:t>año 2022</w:t>
      </w:r>
      <w:r w:rsidRPr="0077418B">
        <w:rPr>
          <w:rFonts w:ascii="Roboto" w:eastAsia="Roboto" w:hAnsi="Roboto" w:cs="Roboto"/>
          <w:color w:val="000000"/>
          <w:sz w:val="20"/>
          <w:szCs w:val="20"/>
        </w:rPr>
        <w:t>, filtra</w:t>
      </w:r>
      <w:r w:rsidR="008859EE">
        <w:rPr>
          <w:rFonts w:ascii="Roboto" w:eastAsia="Roboto" w:hAnsi="Roboto" w:cs="Roboto"/>
          <w:color w:val="000000"/>
          <w:sz w:val="20"/>
          <w:szCs w:val="20"/>
        </w:rPr>
        <w:t>ndo</w:t>
      </w:r>
      <w:r w:rsidRPr="0077418B">
        <w:rPr>
          <w:rFonts w:ascii="Roboto" w:eastAsia="Roboto" w:hAnsi="Roboto" w:cs="Roboto"/>
          <w:color w:val="000000"/>
          <w:sz w:val="20"/>
          <w:szCs w:val="20"/>
        </w:rPr>
        <w:t xml:space="preserve"> los resultados de estos instrumentos para obtener los datos del ámbito rural.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 w:rsidR="00557F1F">
        <w:rPr>
          <w:rFonts w:ascii="Roboto" w:eastAsia="Roboto" w:hAnsi="Roboto" w:cs="Roboto"/>
          <w:color w:val="000000"/>
          <w:sz w:val="20"/>
          <w:szCs w:val="20"/>
        </w:rPr>
        <w:t>La Tabla 1 muestra el resultado considerando sólo tres patios de empaque, topografía una sin accidentes geográficos, y los datos de 2023 del INEGI.</w:t>
      </w:r>
    </w:p>
    <w:p w14:paraId="1C698D04" w14:textId="0C3A1D12" w:rsidR="00557F1F" w:rsidRDefault="00557F1F" w:rsidP="00557F1F">
      <w:pPr>
        <w:keepNext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b/>
          <w:sz w:val="20"/>
          <w:szCs w:val="20"/>
        </w:rPr>
        <w:t>Tabla 1.</w:t>
      </w:r>
      <w:r>
        <w:rPr>
          <w:rFonts w:ascii="Roboto" w:eastAsia="Roboto" w:hAnsi="Roboto" w:cs="Roboto"/>
          <w:sz w:val="20"/>
          <w:szCs w:val="20"/>
        </w:rPr>
        <w:t xml:space="preserve"> Cuotas de mercado del juego considerando sólo tres patios de empaque. Fuente: </w:t>
      </w:r>
      <w:sdt>
        <w:sdtPr>
          <w:rPr>
            <w:rFonts w:ascii="Roboto" w:eastAsia="Roboto" w:hAnsi="Roboto" w:cs="Roboto"/>
            <w:sz w:val="20"/>
            <w:szCs w:val="20"/>
          </w:rPr>
          <w:id w:val="1236201943"/>
          <w:citation/>
        </w:sdtPr>
        <w:sdtContent>
          <w:r>
            <w:rPr>
              <w:rFonts w:ascii="Roboto" w:eastAsia="Roboto" w:hAnsi="Roboto" w:cs="Roboto"/>
              <w:sz w:val="20"/>
              <w:szCs w:val="20"/>
            </w:rPr>
            <w:fldChar w:fldCharType="begin"/>
          </w:r>
          <w:r>
            <w:rPr>
              <w:rFonts w:ascii="Roboto" w:eastAsia="Roboto" w:hAnsi="Roboto" w:cs="Roboto"/>
              <w:sz w:val="20"/>
              <w:szCs w:val="20"/>
            </w:rPr>
            <w:instrText xml:space="preserve"> CITATION Lóp251 \l 2058 </w:instrText>
          </w:r>
          <w:r>
            <w:rPr>
              <w:rFonts w:ascii="Roboto" w:eastAsia="Roboto" w:hAnsi="Roboto" w:cs="Roboto"/>
              <w:sz w:val="20"/>
              <w:szCs w:val="20"/>
            </w:rPr>
            <w:fldChar w:fldCharType="separate"/>
          </w:r>
          <w:r w:rsidR="001D5A86" w:rsidRPr="001D5A86">
            <w:rPr>
              <w:rFonts w:ascii="Roboto" w:eastAsia="Roboto" w:hAnsi="Roboto" w:cs="Roboto"/>
              <w:noProof/>
              <w:sz w:val="20"/>
              <w:szCs w:val="20"/>
            </w:rPr>
            <w:t>(López-Barrientos, Flores-Herrera, Fernández-Arias, &amp; Escobedo-Trujillo, 2025)</w:t>
          </w:r>
          <w:r>
            <w:rPr>
              <w:rFonts w:ascii="Roboto" w:eastAsia="Roboto" w:hAnsi="Roboto" w:cs="Roboto"/>
              <w:sz w:val="20"/>
              <w:szCs w:val="20"/>
            </w:rPr>
            <w:fldChar w:fldCharType="end"/>
          </w:r>
        </w:sdtContent>
      </w:sdt>
      <w:r>
        <w:rPr>
          <w:rFonts w:ascii="Roboto" w:eastAsia="Roboto" w:hAnsi="Roboto" w:cs="Roboto"/>
          <w:sz w:val="20"/>
          <w:szCs w:val="20"/>
        </w:rPr>
        <w:t>.</w:t>
      </w:r>
    </w:p>
    <w:tbl>
      <w:tblPr>
        <w:tblStyle w:val="a1"/>
        <w:tblW w:w="4820" w:type="dxa"/>
        <w:jc w:val="center"/>
        <w:tblInd w:w="0" w:type="dxa"/>
        <w:tblBorders>
          <w:top w:val="single" w:sz="4" w:space="0" w:color="000000"/>
          <w:bottom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701"/>
        <w:gridCol w:w="1560"/>
        <w:gridCol w:w="1559"/>
      </w:tblGrid>
      <w:tr w:rsidR="00557F1F" w14:paraId="52407437" w14:textId="77777777" w:rsidTr="00011957">
        <w:trPr>
          <w:jc w:val="center"/>
        </w:trPr>
        <w:tc>
          <w:tcPr>
            <w:tcW w:w="1701" w:type="dxa"/>
            <w:tcBorders>
              <w:top w:val="single" w:sz="4" w:space="0" w:color="000000"/>
              <w:bottom w:val="single" w:sz="4" w:space="0" w:color="auto"/>
            </w:tcBorders>
          </w:tcPr>
          <w:p w14:paraId="18538FE6" w14:textId="77777777" w:rsidR="00557F1F" w:rsidRDefault="00557F1F" w:rsidP="00011957">
            <w:pPr>
              <w:ind w:left="462"/>
              <w:jc w:val="center"/>
              <w:rPr>
                <w:rFonts w:ascii="Roboto" w:eastAsia="Roboto" w:hAnsi="Roboto" w:cs="Roboto"/>
                <w:b/>
                <w:sz w:val="20"/>
                <w:szCs w:val="20"/>
              </w:rPr>
            </w:pPr>
            <w:r>
              <w:rPr>
                <w:rFonts w:ascii="Roboto" w:eastAsia="Roboto" w:hAnsi="Roboto" w:cs="Roboto"/>
                <w:b/>
                <w:sz w:val="20"/>
                <w:szCs w:val="20"/>
              </w:rPr>
              <w:t>Empresa</w:t>
            </w:r>
          </w:p>
        </w:tc>
        <w:tc>
          <w:tcPr>
            <w:tcW w:w="1560" w:type="dxa"/>
            <w:tcBorders>
              <w:top w:val="single" w:sz="4" w:space="0" w:color="000000"/>
              <w:bottom w:val="single" w:sz="4" w:space="0" w:color="auto"/>
            </w:tcBorders>
          </w:tcPr>
          <w:p w14:paraId="58C41BEE" w14:textId="77777777" w:rsidR="00557F1F" w:rsidRDefault="00557F1F" w:rsidP="00011957">
            <w:pPr>
              <w:ind w:left="462"/>
              <w:jc w:val="center"/>
              <w:rPr>
                <w:rFonts w:ascii="Roboto" w:eastAsia="Roboto" w:hAnsi="Roboto" w:cs="Roboto"/>
                <w:b/>
                <w:sz w:val="20"/>
                <w:szCs w:val="20"/>
              </w:rPr>
            </w:pPr>
            <w:r>
              <w:rPr>
                <w:rFonts w:ascii="Roboto" w:eastAsia="Roboto" w:hAnsi="Roboto" w:cs="Roboto"/>
                <w:b/>
                <w:sz w:val="20"/>
                <w:szCs w:val="20"/>
              </w:rPr>
              <w:t xml:space="preserve">Cuota inicial de mercado </w:t>
            </w:r>
          </w:p>
        </w:tc>
        <w:tc>
          <w:tcPr>
            <w:tcW w:w="1559" w:type="dxa"/>
            <w:tcBorders>
              <w:top w:val="single" w:sz="4" w:space="0" w:color="000000"/>
              <w:bottom w:val="single" w:sz="4" w:space="0" w:color="000000"/>
            </w:tcBorders>
          </w:tcPr>
          <w:p w14:paraId="76706E32" w14:textId="77777777" w:rsidR="00557F1F" w:rsidRDefault="00557F1F" w:rsidP="00011957">
            <w:pPr>
              <w:ind w:left="462"/>
              <w:jc w:val="center"/>
              <w:rPr>
                <w:rFonts w:ascii="Roboto" w:eastAsia="Roboto" w:hAnsi="Roboto" w:cs="Roboto"/>
                <w:b/>
                <w:sz w:val="20"/>
                <w:szCs w:val="20"/>
              </w:rPr>
            </w:pPr>
            <w:r>
              <w:rPr>
                <w:rFonts w:ascii="Roboto" w:eastAsia="Roboto" w:hAnsi="Roboto" w:cs="Roboto"/>
                <w:b/>
                <w:sz w:val="20"/>
                <w:szCs w:val="20"/>
              </w:rPr>
              <w:t>Cuota en equilibrio</w:t>
            </w:r>
          </w:p>
        </w:tc>
      </w:tr>
      <w:tr w:rsidR="00557F1F" w14:paraId="368FC2E8" w14:textId="77777777" w:rsidTr="00011957">
        <w:trPr>
          <w:jc w:val="center"/>
        </w:trPr>
        <w:tc>
          <w:tcPr>
            <w:tcW w:w="1701" w:type="dxa"/>
            <w:tcBorders>
              <w:top w:val="single" w:sz="4" w:space="0" w:color="auto"/>
            </w:tcBorders>
          </w:tcPr>
          <w:p w14:paraId="0DB74C28" w14:textId="77777777" w:rsidR="00557F1F" w:rsidRDefault="00557F1F" w:rsidP="00011957">
            <w:pPr>
              <w:ind w:left="462"/>
              <w:jc w:val="center"/>
              <w:rPr>
                <w:rFonts w:ascii="Roboto" w:eastAsia="Roboto" w:hAnsi="Roboto" w:cs="Roboto"/>
                <w:sz w:val="20"/>
                <w:szCs w:val="20"/>
              </w:rPr>
            </w:pPr>
            <w:r w:rsidRPr="00557F1F">
              <w:rPr>
                <w:rFonts w:ascii="Roboto" w:eastAsia="Roboto" w:hAnsi="Roboto" w:cs="Roboto"/>
                <w:sz w:val="20"/>
                <w:szCs w:val="20"/>
              </w:rPr>
              <w:t xml:space="preserve">Empaque Los Reyes         </w:t>
            </w:r>
          </w:p>
        </w:tc>
        <w:tc>
          <w:tcPr>
            <w:tcW w:w="1560" w:type="dxa"/>
            <w:tcBorders>
              <w:top w:val="single" w:sz="4" w:space="0" w:color="auto"/>
            </w:tcBorders>
          </w:tcPr>
          <w:p w14:paraId="4BF15CC4" w14:textId="77777777" w:rsidR="00557F1F" w:rsidRDefault="00557F1F" w:rsidP="00011957">
            <w:pPr>
              <w:ind w:left="462"/>
              <w:jc w:val="center"/>
              <w:rPr>
                <w:rFonts w:ascii="Roboto" w:eastAsia="Roboto" w:hAnsi="Roboto" w:cs="Roboto"/>
                <w:sz w:val="20"/>
                <w:szCs w:val="20"/>
              </w:rPr>
            </w:pPr>
            <w:r w:rsidRPr="00557F1F">
              <w:rPr>
                <w:rFonts w:ascii="Roboto" w:eastAsia="Roboto" w:hAnsi="Roboto" w:cs="Roboto"/>
                <w:sz w:val="20"/>
                <w:szCs w:val="20"/>
              </w:rPr>
              <w:t>24.6</w:t>
            </w:r>
            <w:r>
              <w:rPr>
                <w:rFonts w:ascii="Roboto" w:eastAsia="Roboto" w:hAnsi="Roboto" w:cs="Roboto"/>
                <w:sz w:val="20"/>
                <w:szCs w:val="20"/>
              </w:rPr>
              <w:t>9%</w:t>
            </w:r>
          </w:p>
        </w:tc>
        <w:tc>
          <w:tcPr>
            <w:tcW w:w="1559" w:type="dxa"/>
            <w:tcBorders>
              <w:top w:val="single" w:sz="4" w:space="0" w:color="000000"/>
            </w:tcBorders>
          </w:tcPr>
          <w:p w14:paraId="0580BAED" w14:textId="77777777" w:rsidR="00557F1F" w:rsidRDefault="00557F1F" w:rsidP="00011957">
            <w:pPr>
              <w:ind w:left="462"/>
              <w:jc w:val="center"/>
              <w:rPr>
                <w:rFonts w:ascii="Roboto" w:eastAsia="Roboto" w:hAnsi="Roboto" w:cs="Roboto"/>
                <w:sz w:val="20"/>
                <w:szCs w:val="20"/>
              </w:rPr>
            </w:pPr>
            <w:r w:rsidRPr="00557F1F">
              <w:rPr>
                <w:rFonts w:ascii="Roboto" w:eastAsia="Roboto" w:hAnsi="Roboto" w:cs="Roboto"/>
                <w:sz w:val="20"/>
                <w:szCs w:val="20"/>
              </w:rPr>
              <w:t>27.91</w:t>
            </w:r>
            <w:r>
              <w:rPr>
                <w:rFonts w:ascii="Roboto" w:eastAsia="Roboto" w:hAnsi="Roboto" w:cs="Roboto"/>
                <w:sz w:val="20"/>
                <w:szCs w:val="20"/>
              </w:rPr>
              <w:t>%</w:t>
            </w:r>
          </w:p>
        </w:tc>
      </w:tr>
      <w:tr w:rsidR="00557F1F" w14:paraId="7BC724DE" w14:textId="77777777" w:rsidTr="00011957">
        <w:trPr>
          <w:jc w:val="center"/>
        </w:trPr>
        <w:tc>
          <w:tcPr>
            <w:tcW w:w="1701" w:type="dxa"/>
          </w:tcPr>
          <w:p w14:paraId="44350996" w14:textId="77777777" w:rsidR="00557F1F" w:rsidRDefault="00557F1F" w:rsidP="00011957">
            <w:pPr>
              <w:ind w:left="462"/>
              <w:jc w:val="center"/>
              <w:rPr>
                <w:rFonts w:ascii="Roboto" w:eastAsia="Roboto" w:hAnsi="Roboto" w:cs="Roboto"/>
                <w:sz w:val="20"/>
                <w:szCs w:val="20"/>
              </w:rPr>
            </w:pPr>
            <w:r w:rsidRPr="00557F1F">
              <w:rPr>
                <w:rFonts w:ascii="Roboto" w:eastAsia="Roboto" w:hAnsi="Roboto" w:cs="Roboto"/>
                <w:sz w:val="20"/>
                <w:szCs w:val="20"/>
              </w:rPr>
              <w:t>Avocados Esquivel</w:t>
            </w:r>
          </w:p>
        </w:tc>
        <w:tc>
          <w:tcPr>
            <w:tcW w:w="1560" w:type="dxa"/>
          </w:tcPr>
          <w:p w14:paraId="41BD8806" w14:textId="77777777" w:rsidR="00557F1F" w:rsidRDefault="00557F1F" w:rsidP="00011957">
            <w:pPr>
              <w:ind w:left="462"/>
              <w:jc w:val="center"/>
              <w:rPr>
                <w:rFonts w:ascii="Roboto" w:eastAsia="Roboto" w:hAnsi="Roboto" w:cs="Roboto"/>
                <w:sz w:val="20"/>
                <w:szCs w:val="20"/>
              </w:rPr>
            </w:pPr>
            <w:r w:rsidRPr="00557F1F">
              <w:rPr>
                <w:rFonts w:ascii="Roboto" w:eastAsia="Roboto" w:hAnsi="Roboto" w:cs="Roboto"/>
                <w:sz w:val="20"/>
                <w:szCs w:val="20"/>
              </w:rPr>
              <w:t>20.82</w:t>
            </w:r>
            <w:r>
              <w:rPr>
                <w:rFonts w:ascii="Roboto" w:eastAsia="Roboto" w:hAnsi="Roboto" w:cs="Roboto"/>
                <w:sz w:val="20"/>
                <w:szCs w:val="20"/>
              </w:rPr>
              <w:t>%</w:t>
            </w:r>
          </w:p>
        </w:tc>
        <w:tc>
          <w:tcPr>
            <w:tcW w:w="1559" w:type="dxa"/>
          </w:tcPr>
          <w:p w14:paraId="1F18216D" w14:textId="77777777" w:rsidR="00557F1F" w:rsidRDefault="00557F1F" w:rsidP="00011957">
            <w:pPr>
              <w:ind w:left="462"/>
              <w:jc w:val="center"/>
              <w:rPr>
                <w:rFonts w:ascii="Roboto" w:eastAsia="Roboto" w:hAnsi="Roboto" w:cs="Roboto"/>
                <w:sz w:val="20"/>
                <w:szCs w:val="20"/>
              </w:rPr>
            </w:pPr>
            <w:r w:rsidRPr="00557F1F">
              <w:rPr>
                <w:rFonts w:ascii="Roboto" w:eastAsia="Roboto" w:hAnsi="Roboto" w:cs="Roboto"/>
                <w:sz w:val="20"/>
                <w:szCs w:val="20"/>
              </w:rPr>
              <w:t>33.02</w:t>
            </w:r>
            <w:r>
              <w:rPr>
                <w:rFonts w:ascii="Roboto" w:eastAsia="Roboto" w:hAnsi="Roboto" w:cs="Roboto"/>
                <w:sz w:val="20"/>
                <w:szCs w:val="20"/>
              </w:rPr>
              <w:t>%</w:t>
            </w:r>
          </w:p>
        </w:tc>
      </w:tr>
      <w:tr w:rsidR="00557F1F" w14:paraId="67A217C1" w14:textId="77777777" w:rsidTr="00011957">
        <w:trPr>
          <w:jc w:val="center"/>
        </w:trPr>
        <w:tc>
          <w:tcPr>
            <w:tcW w:w="1701" w:type="dxa"/>
          </w:tcPr>
          <w:p w14:paraId="21DE436C" w14:textId="77777777" w:rsidR="00557F1F" w:rsidRPr="00557F1F" w:rsidRDefault="00557F1F" w:rsidP="00011957">
            <w:pPr>
              <w:ind w:left="462"/>
              <w:jc w:val="center"/>
              <w:rPr>
                <w:rFonts w:ascii="Roboto" w:eastAsia="Roboto" w:hAnsi="Roboto" w:cs="Roboto"/>
                <w:sz w:val="20"/>
                <w:szCs w:val="20"/>
              </w:rPr>
            </w:pPr>
            <w:r w:rsidRPr="00557F1F">
              <w:rPr>
                <w:rFonts w:ascii="Roboto" w:eastAsia="Roboto" w:hAnsi="Roboto" w:cs="Roboto"/>
                <w:sz w:val="20"/>
                <w:szCs w:val="20"/>
              </w:rPr>
              <w:t>Avopoduce México</w:t>
            </w:r>
          </w:p>
        </w:tc>
        <w:tc>
          <w:tcPr>
            <w:tcW w:w="1560" w:type="dxa"/>
          </w:tcPr>
          <w:p w14:paraId="66CD59ED" w14:textId="77777777" w:rsidR="00557F1F" w:rsidRPr="00557F1F" w:rsidRDefault="00557F1F" w:rsidP="00011957">
            <w:pPr>
              <w:ind w:left="462"/>
              <w:jc w:val="center"/>
              <w:rPr>
                <w:rFonts w:ascii="Roboto" w:eastAsia="Roboto" w:hAnsi="Roboto" w:cs="Roboto"/>
                <w:sz w:val="20"/>
                <w:szCs w:val="20"/>
              </w:rPr>
            </w:pPr>
            <w:r w:rsidRPr="00557F1F">
              <w:rPr>
                <w:rFonts w:ascii="Roboto" w:eastAsia="Roboto" w:hAnsi="Roboto" w:cs="Roboto"/>
                <w:sz w:val="20"/>
                <w:szCs w:val="20"/>
              </w:rPr>
              <w:t>22.9</w:t>
            </w:r>
            <w:r>
              <w:rPr>
                <w:rFonts w:ascii="Roboto" w:eastAsia="Roboto" w:hAnsi="Roboto" w:cs="Roboto"/>
                <w:sz w:val="20"/>
                <w:szCs w:val="20"/>
              </w:rPr>
              <w:t>4%</w:t>
            </w:r>
          </w:p>
        </w:tc>
        <w:tc>
          <w:tcPr>
            <w:tcW w:w="1559" w:type="dxa"/>
          </w:tcPr>
          <w:p w14:paraId="6EFFD52D" w14:textId="77777777" w:rsidR="00557F1F" w:rsidRPr="00557F1F" w:rsidRDefault="00557F1F" w:rsidP="00011957">
            <w:pPr>
              <w:ind w:left="462"/>
              <w:jc w:val="center"/>
              <w:rPr>
                <w:rFonts w:ascii="Roboto" w:eastAsia="Roboto" w:hAnsi="Roboto" w:cs="Roboto"/>
                <w:sz w:val="20"/>
                <w:szCs w:val="20"/>
              </w:rPr>
            </w:pPr>
            <w:r w:rsidRPr="00557F1F">
              <w:rPr>
                <w:rFonts w:ascii="Roboto" w:eastAsia="Roboto" w:hAnsi="Roboto" w:cs="Roboto"/>
                <w:sz w:val="20"/>
                <w:szCs w:val="20"/>
              </w:rPr>
              <w:t>28.18</w:t>
            </w:r>
            <w:r>
              <w:rPr>
                <w:rFonts w:ascii="Roboto" w:eastAsia="Roboto" w:hAnsi="Roboto" w:cs="Roboto"/>
                <w:sz w:val="20"/>
                <w:szCs w:val="20"/>
              </w:rPr>
              <w:t>%</w:t>
            </w:r>
          </w:p>
        </w:tc>
      </w:tr>
    </w:tbl>
    <w:p w14:paraId="4D671CF6" w14:textId="5076436B" w:rsidR="00A645A6" w:rsidRDefault="00A645A6" w:rsidP="00A645A6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</w:p>
    <w:p w14:paraId="51414A31" w14:textId="77777777" w:rsidR="00FC5660" w:rsidRDefault="00FC566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</w:p>
    <w:p w14:paraId="50C82300" w14:textId="2515C770" w:rsidR="00FC5660" w:rsidRDefault="00C619FD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color w:val="000000"/>
          <w:sz w:val="20"/>
          <w:szCs w:val="20"/>
        </w:rPr>
      </w:pPr>
      <w:r>
        <w:rPr>
          <w:rFonts w:ascii="Roboto" w:eastAsia="Roboto" w:hAnsi="Roboto" w:cs="Roboto"/>
          <w:b/>
          <w:color w:val="000000"/>
          <w:sz w:val="20"/>
          <w:szCs w:val="20"/>
        </w:rPr>
        <w:t>TERCERA FASE: IMPLEMENTACIÓN COMPUTACIONAL</w:t>
      </w:r>
    </w:p>
    <w:p w14:paraId="1F208A94" w14:textId="401E53A4" w:rsidR="001D5A86" w:rsidRDefault="008859EE" w:rsidP="00557F1F">
      <w:pPr>
        <w:keepNext/>
        <w:jc w:val="both"/>
        <w:rPr>
          <w:rFonts w:ascii="Roboto" w:eastAsia="Roboto" w:hAnsi="Roboto" w:cs="Roboto"/>
          <w:color w:val="000000"/>
          <w:sz w:val="20"/>
          <w:szCs w:val="20"/>
        </w:rPr>
      </w:pPr>
      <w:r w:rsidRPr="008859EE">
        <w:rPr>
          <w:rFonts w:ascii="Roboto" w:eastAsia="Roboto" w:hAnsi="Roboto" w:cs="Roboto"/>
          <w:color w:val="000000"/>
          <w:sz w:val="20"/>
          <w:szCs w:val="20"/>
        </w:rPr>
        <w:t>En la tercera fase del proyecto, utilizamos los datos topográficos de</w:t>
      </w:r>
      <w:r>
        <w:rPr>
          <w:rFonts w:ascii="Roboto" w:eastAsia="Roboto" w:hAnsi="Roboto" w:cs="Roboto"/>
          <w:color w:val="000000"/>
          <w:sz w:val="20"/>
          <w:szCs w:val="20"/>
        </w:rPr>
        <w:t>l</w:t>
      </w:r>
      <w:r w:rsidRPr="008859EE"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INEGI </w:t>
      </w:r>
      <w:r w:rsidRPr="008859EE">
        <w:rPr>
          <w:rFonts w:ascii="Roboto" w:eastAsia="Roboto" w:hAnsi="Roboto" w:cs="Roboto"/>
          <w:color w:val="000000"/>
          <w:sz w:val="20"/>
          <w:szCs w:val="20"/>
        </w:rPr>
        <w:t xml:space="preserve">y la delimitación geográfica del estado de Michoacán para analizar la distribución de Voronoi propuesta por </w:t>
      </w:r>
      <w:sdt>
        <w:sdtPr>
          <w:rPr>
            <w:rFonts w:ascii="Roboto" w:eastAsia="Roboto" w:hAnsi="Roboto" w:cs="Roboto"/>
            <w:color w:val="000000"/>
            <w:sz w:val="20"/>
            <w:szCs w:val="20"/>
          </w:rPr>
          <w:id w:val="1284463952"/>
          <w:citation/>
        </w:sdtPr>
        <w:sdtContent>
          <w:r>
            <w:rPr>
              <w:rFonts w:ascii="Roboto" w:eastAsia="Roboto" w:hAnsi="Roboto" w:cs="Roboto"/>
              <w:color w:val="000000"/>
              <w:sz w:val="20"/>
              <w:szCs w:val="20"/>
            </w:rPr>
            <w:fldChar w:fldCharType="begin"/>
          </w:r>
          <w:r>
            <w:rPr>
              <w:rFonts w:ascii="Roboto" w:eastAsia="Roboto" w:hAnsi="Roboto" w:cs="Roboto"/>
              <w:color w:val="000000"/>
              <w:sz w:val="20"/>
              <w:szCs w:val="20"/>
            </w:rPr>
            <w:instrText xml:space="preserve"> CITATION Lóp251 \l 2058 </w:instrText>
          </w:r>
          <w:r>
            <w:rPr>
              <w:rFonts w:ascii="Roboto" w:eastAsia="Roboto" w:hAnsi="Roboto" w:cs="Roboto"/>
              <w:color w:val="000000"/>
              <w:sz w:val="20"/>
              <w:szCs w:val="20"/>
            </w:rPr>
            <w:fldChar w:fldCharType="separate"/>
          </w:r>
          <w:r w:rsidR="001D5A86" w:rsidRPr="001D5A86">
            <w:rPr>
              <w:rFonts w:ascii="Roboto" w:eastAsia="Roboto" w:hAnsi="Roboto" w:cs="Roboto"/>
              <w:noProof/>
              <w:color w:val="000000"/>
              <w:sz w:val="20"/>
              <w:szCs w:val="20"/>
            </w:rPr>
            <w:t>(López-Barrientos, Flores-Herrera, Fernández-Arias, &amp; Escobedo-Trujillo, 2025)</w:t>
          </w:r>
          <w:r>
            <w:rPr>
              <w:rFonts w:ascii="Roboto" w:eastAsia="Roboto" w:hAnsi="Roboto" w:cs="Roboto"/>
              <w:color w:val="000000"/>
              <w:sz w:val="20"/>
              <w:szCs w:val="20"/>
            </w:rPr>
            <w:fldChar w:fldCharType="end"/>
          </w:r>
        </w:sdtContent>
      </w:sdt>
      <w:r w:rsidRPr="008859EE">
        <w:rPr>
          <w:rFonts w:ascii="Roboto" w:eastAsia="Roboto" w:hAnsi="Roboto" w:cs="Roboto"/>
          <w:color w:val="000000"/>
          <w:sz w:val="20"/>
          <w:szCs w:val="20"/>
        </w:rPr>
        <w:t xml:space="preserve"> para cada segmento geográfico. Para este efecto, empleamos el trabajo previo elaborado por </w:t>
      </w:r>
      <w:sdt>
        <w:sdtPr>
          <w:rPr>
            <w:rFonts w:ascii="Roboto" w:eastAsia="Roboto" w:hAnsi="Roboto" w:cs="Roboto"/>
            <w:color w:val="000000"/>
            <w:sz w:val="20"/>
            <w:szCs w:val="20"/>
          </w:rPr>
          <w:id w:val="1759866420"/>
          <w:citation/>
        </w:sdtPr>
        <w:sdtContent>
          <w:r>
            <w:rPr>
              <w:rFonts w:ascii="Roboto" w:eastAsia="Roboto" w:hAnsi="Roboto" w:cs="Roboto"/>
              <w:color w:val="000000"/>
              <w:sz w:val="20"/>
              <w:szCs w:val="20"/>
            </w:rPr>
            <w:fldChar w:fldCharType="begin"/>
          </w:r>
          <w:r>
            <w:rPr>
              <w:rFonts w:ascii="Roboto" w:eastAsia="Roboto" w:hAnsi="Roboto" w:cs="Roboto"/>
              <w:color w:val="000000"/>
              <w:sz w:val="20"/>
              <w:szCs w:val="20"/>
            </w:rPr>
            <w:instrText xml:space="preserve"> CITATION Iba24 \l 2058 </w:instrText>
          </w:r>
          <w:r>
            <w:rPr>
              <w:rFonts w:ascii="Roboto" w:eastAsia="Roboto" w:hAnsi="Roboto" w:cs="Roboto"/>
              <w:color w:val="000000"/>
              <w:sz w:val="20"/>
              <w:szCs w:val="20"/>
            </w:rPr>
            <w:fldChar w:fldCharType="separate"/>
          </w:r>
          <w:r w:rsidR="001D5A86" w:rsidRPr="001D5A86">
            <w:rPr>
              <w:rFonts w:ascii="Roboto" w:eastAsia="Roboto" w:hAnsi="Roboto" w:cs="Roboto"/>
              <w:noProof/>
              <w:color w:val="000000"/>
              <w:sz w:val="20"/>
              <w:szCs w:val="20"/>
            </w:rPr>
            <w:t>(Ibarra Moreno &amp; García García, 2024)</w:t>
          </w:r>
          <w:r>
            <w:rPr>
              <w:rFonts w:ascii="Roboto" w:eastAsia="Roboto" w:hAnsi="Roboto" w:cs="Roboto"/>
              <w:color w:val="000000"/>
              <w:sz w:val="20"/>
              <w:szCs w:val="20"/>
            </w:rPr>
            <w:fldChar w:fldCharType="end"/>
          </w:r>
        </w:sdtContent>
      </w:sdt>
      <w:r w:rsidRPr="008859EE">
        <w:rPr>
          <w:rFonts w:ascii="Roboto" w:eastAsia="Roboto" w:hAnsi="Roboto" w:cs="Roboto"/>
          <w:color w:val="000000"/>
          <w:sz w:val="20"/>
          <w:szCs w:val="20"/>
        </w:rPr>
        <w:t>, el estudio de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sdt>
        <w:sdtPr>
          <w:rPr>
            <w:rFonts w:ascii="Roboto" w:eastAsia="Roboto" w:hAnsi="Roboto" w:cs="Roboto"/>
            <w:color w:val="000000"/>
            <w:sz w:val="20"/>
            <w:szCs w:val="20"/>
          </w:rPr>
          <w:id w:val="1551263379"/>
          <w:citation/>
        </w:sdtPr>
        <w:sdtContent>
          <w:r>
            <w:rPr>
              <w:rFonts w:ascii="Roboto" w:eastAsia="Roboto" w:hAnsi="Roboto" w:cs="Roboto"/>
              <w:color w:val="000000"/>
              <w:sz w:val="20"/>
              <w:szCs w:val="20"/>
            </w:rPr>
            <w:fldChar w:fldCharType="begin"/>
          </w:r>
          <w:r>
            <w:rPr>
              <w:rFonts w:ascii="Roboto" w:eastAsia="Roboto" w:hAnsi="Roboto" w:cs="Roboto"/>
              <w:color w:val="000000"/>
              <w:sz w:val="20"/>
              <w:szCs w:val="20"/>
            </w:rPr>
            <w:instrText xml:space="preserve"> CITATION Aur13 \l 2058 </w:instrText>
          </w:r>
          <w:r>
            <w:rPr>
              <w:rFonts w:ascii="Roboto" w:eastAsia="Roboto" w:hAnsi="Roboto" w:cs="Roboto"/>
              <w:color w:val="000000"/>
              <w:sz w:val="20"/>
              <w:szCs w:val="20"/>
            </w:rPr>
            <w:fldChar w:fldCharType="separate"/>
          </w:r>
          <w:r w:rsidR="001D5A86" w:rsidRPr="001D5A86">
            <w:rPr>
              <w:rFonts w:ascii="Roboto" w:eastAsia="Roboto" w:hAnsi="Roboto" w:cs="Roboto"/>
              <w:noProof/>
              <w:color w:val="000000"/>
              <w:sz w:val="20"/>
              <w:szCs w:val="20"/>
            </w:rPr>
            <w:t>(Aurenhammer, Klein, &amp; Lee, 2013)</w:t>
          </w:r>
          <w:r>
            <w:rPr>
              <w:rFonts w:ascii="Roboto" w:eastAsia="Roboto" w:hAnsi="Roboto" w:cs="Roboto"/>
              <w:color w:val="000000"/>
              <w:sz w:val="20"/>
              <w:szCs w:val="20"/>
            </w:rPr>
            <w:fldChar w:fldCharType="end"/>
          </w:r>
        </w:sdtContent>
      </w:sdt>
      <w:r w:rsidRPr="008859EE">
        <w:rPr>
          <w:rFonts w:ascii="Roboto" w:eastAsia="Roboto" w:hAnsi="Roboto" w:cs="Roboto"/>
          <w:color w:val="000000"/>
          <w:sz w:val="20"/>
          <w:szCs w:val="20"/>
        </w:rPr>
        <w:t xml:space="preserve">, y la implementación computacional del modelo del juego de Voronoi en grafos original de </w:t>
      </w:r>
      <w:sdt>
        <w:sdtPr>
          <w:rPr>
            <w:rFonts w:ascii="Roboto" w:eastAsia="Roboto" w:hAnsi="Roboto" w:cs="Roboto"/>
            <w:color w:val="000000"/>
            <w:sz w:val="20"/>
            <w:szCs w:val="20"/>
          </w:rPr>
          <w:id w:val="-961040204"/>
          <w:citation/>
        </w:sdtPr>
        <w:sdtContent>
          <w:r w:rsidR="00C619FD">
            <w:rPr>
              <w:rFonts w:ascii="Roboto" w:eastAsia="Roboto" w:hAnsi="Roboto" w:cs="Roboto"/>
              <w:color w:val="000000"/>
              <w:sz w:val="20"/>
              <w:szCs w:val="20"/>
            </w:rPr>
            <w:fldChar w:fldCharType="begin"/>
          </w:r>
          <w:r w:rsidR="00C619FD">
            <w:rPr>
              <w:rFonts w:ascii="Roboto" w:eastAsia="Roboto" w:hAnsi="Roboto" w:cs="Roboto"/>
              <w:color w:val="000000"/>
              <w:sz w:val="20"/>
              <w:szCs w:val="20"/>
            </w:rPr>
            <w:instrText xml:space="preserve"> CITATION Ban15 \l 2058 </w:instrText>
          </w:r>
          <w:r w:rsidR="00C619FD">
            <w:rPr>
              <w:rFonts w:ascii="Roboto" w:eastAsia="Roboto" w:hAnsi="Roboto" w:cs="Roboto"/>
              <w:color w:val="000000"/>
              <w:sz w:val="20"/>
              <w:szCs w:val="20"/>
            </w:rPr>
            <w:fldChar w:fldCharType="separate"/>
          </w:r>
          <w:r w:rsidR="001D5A86" w:rsidRPr="001D5A86">
            <w:rPr>
              <w:rFonts w:ascii="Roboto" w:eastAsia="Roboto" w:hAnsi="Roboto" w:cs="Roboto"/>
              <w:noProof/>
              <w:color w:val="000000"/>
              <w:sz w:val="20"/>
              <w:szCs w:val="20"/>
            </w:rPr>
            <w:t>(Bandyapadhyay, Banik, Das, &amp; Sarkar, 2015)</w:t>
          </w:r>
          <w:r w:rsidR="00C619FD">
            <w:rPr>
              <w:rFonts w:ascii="Roboto" w:eastAsia="Roboto" w:hAnsi="Roboto" w:cs="Roboto"/>
              <w:color w:val="000000"/>
              <w:sz w:val="20"/>
              <w:szCs w:val="20"/>
            </w:rPr>
            <w:fldChar w:fldCharType="end"/>
          </w:r>
        </w:sdtContent>
      </w:sdt>
      <w:r w:rsidRPr="008859EE">
        <w:rPr>
          <w:rFonts w:ascii="Roboto" w:eastAsia="Roboto" w:hAnsi="Roboto" w:cs="Roboto"/>
          <w:color w:val="000000"/>
          <w:sz w:val="20"/>
          <w:szCs w:val="20"/>
        </w:rPr>
        <w:t xml:space="preserve"> y </w:t>
      </w:r>
      <w:r w:rsidR="00C619FD">
        <w:rPr>
          <w:rFonts w:ascii="Roboto" w:eastAsia="Roboto" w:hAnsi="Roboto" w:cs="Roboto"/>
          <w:color w:val="000000"/>
          <w:sz w:val="20"/>
          <w:szCs w:val="20"/>
        </w:rPr>
        <w:t xml:space="preserve">la </w:t>
      </w:r>
      <w:r w:rsidRPr="008859EE">
        <w:rPr>
          <w:rFonts w:ascii="Roboto" w:eastAsia="Roboto" w:hAnsi="Roboto" w:cs="Roboto"/>
          <w:color w:val="000000"/>
          <w:sz w:val="20"/>
          <w:szCs w:val="20"/>
        </w:rPr>
        <w:t xml:space="preserve">obras de </w:t>
      </w:r>
      <w:sdt>
        <w:sdtPr>
          <w:rPr>
            <w:rFonts w:ascii="Roboto" w:eastAsia="Roboto" w:hAnsi="Roboto" w:cs="Roboto"/>
            <w:color w:val="000000"/>
            <w:sz w:val="20"/>
            <w:szCs w:val="20"/>
          </w:rPr>
          <w:id w:val="-1030874309"/>
          <w:citation/>
        </w:sdtPr>
        <w:sdtContent>
          <w:r w:rsidR="00C619FD">
            <w:rPr>
              <w:rFonts w:ascii="Roboto" w:eastAsia="Roboto" w:hAnsi="Roboto" w:cs="Roboto"/>
              <w:color w:val="000000"/>
              <w:sz w:val="20"/>
              <w:szCs w:val="20"/>
            </w:rPr>
            <w:fldChar w:fldCharType="begin"/>
          </w:r>
          <w:r w:rsidR="00C619FD">
            <w:rPr>
              <w:rFonts w:ascii="Roboto" w:eastAsia="Roboto" w:hAnsi="Roboto" w:cs="Roboto"/>
              <w:color w:val="000000"/>
              <w:sz w:val="20"/>
              <w:szCs w:val="20"/>
            </w:rPr>
            <w:instrText xml:space="preserve"> CITATION LiC09 \l 2058 </w:instrText>
          </w:r>
          <w:r w:rsidR="00C619FD">
            <w:rPr>
              <w:rFonts w:ascii="Roboto" w:eastAsia="Roboto" w:hAnsi="Roboto" w:cs="Roboto"/>
              <w:color w:val="000000"/>
              <w:sz w:val="20"/>
              <w:szCs w:val="20"/>
            </w:rPr>
            <w:fldChar w:fldCharType="separate"/>
          </w:r>
          <w:r w:rsidR="001D5A86" w:rsidRPr="001D5A86">
            <w:rPr>
              <w:rFonts w:ascii="Roboto" w:eastAsia="Roboto" w:hAnsi="Roboto" w:cs="Roboto"/>
              <w:noProof/>
              <w:color w:val="000000"/>
              <w:sz w:val="20"/>
              <w:szCs w:val="20"/>
            </w:rPr>
            <w:t>(Li, Lamberti, &amp; Dagnino, 2009)</w:t>
          </w:r>
          <w:r w:rsidR="00C619FD">
            <w:rPr>
              <w:rFonts w:ascii="Roboto" w:eastAsia="Roboto" w:hAnsi="Roboto" w:cs="Roboto"/>
              <w:color w:val="000000"/>
              <w:sz w:val="20"/>
              <w:szCs w:val="20"/>
            </w:rPr>
            <w:fldChar w:fldCharType="end"/>
          </w:r>
        </w:sdtContent>
      </w:sdt>
      <w:r w:rsidR="00C619FD"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 w:rsidRPr="008859EE">
        <w:rPr>
          <w:rFonts w:ascii="Roboto" w:eastAsia="Roboto" w:hAnsi="Roboto" w:cs="Roboto"/>
          <w:color w:val="000000"/>
          <w:sz w:val="20"/>
          <w:szCs w:val="20"/>
        </w:rPr>
        <w:t xml:space="preserve">para </w:t>
      </w:r>
      <w:r w:rsidRPr="008859EE">
        <w:rPr>
          <w:rFonts w:ascii="Roboto" w:eastAsia="Roboto" w:hAnsi="Roboto" w:cs="Roboto"/>
          <w:color w:val="000000"/>
          <w:sz w:val="20"/>
          <w:szCs w:val="20"/>
        </w:rPr>
        <w:lastRenderedPageBreak/>
        <w:t xml:space="preserve">calcular la </w:t>
      </w:r>
      <w:r w:rsidRPr="00C619FD">
        <w:rPr>
          <w:rFonts w:ascii="Roboto" w:eastAsia="Roboto" w:hAnsi="Roboto" w:cs="Roboto"/>
          <w:i/>
          <w:iCs/>
          <w:color w:val="000000"/>
          <w:sz w:val="20"/>
          <w:szCs w:val="20"/>
        </w:rPr>
        <w:t>cuota de mercado de la delincuencia</w:t>
      </w:r>
      <w:r w:rsidRPr="008859EE">
        <w:rPr>
          <w:rFonts w:ascii="Roboto" w:eastAsia="Roboto" w:hAnsi="Roboto" w:cs="Roboto"/>
          <w:color w:val="000000"/>
          <w:sz w:val="20"/>
          <w:szCs w:val="20"/>
        </w:rPr>
        <w:t xml:space="preserve"> de una manera eficiente.</w:t>
      </w:r>
    </w:p>
    <w:p w14:paraId="0B8A8F3F" w14:textId="111D4D1F" w:rsidR="00FC5660" w:rsidRDefault="001D5A86" w:rsidP="00557F1F">
      <w:pPr>
        <w:keepNext/>
        <w:jc w:val="both"/>
        <w:rPr>
          <w:rFonts w:ascii="Roboto" w:eastAsia="Roboto" w:hAnsi="Roboto" w:cs="Roboto"/>
          <w:color w:val="000000"/>
          <w:sz w:val="20"/>
          <w:szCs w:val="20"/>
        </w:rPr>
      </w:pPr>
      <w:r>
        <w:rPr>
          <w:rFonts w:ascii="Roboto" w:eastAsia="Roboto" w:hAnsi="Roboto" w:cs="Roboto"/>
          <w:noProof/>
          <w:color w:val="000000"/>
          <w:sz w:val="20"/>
          <w:szCs w:val="20"/>
        </w:rPr>
        <w:drawing>
          <wp:inline distT="0" distB="0" distL="0" distR="0" wp14:anchorId="2C244F6B" wp14:editId="0A6EFC17">
            <wp:extent cx="3011170" cy="2096770"/>
            <wp:effectExtent l="0" t="0" r="0" b="0"/>
            <wp:docPr id="1122055031" name="Imagen 3" descr="Mapa&#10;&#10;El contenido generado por IA puede ser incorrec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22055031" name="Imagen 3" descr="Mapa&#10;&#10;El contenido generado por IA puede ser incorrecto.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11170" cy="20967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557F1F"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</w:p>
    <w:p w14:paraId="0BDF88AC" w14:textId="2BF36198" w:rsidR="001D5A86" w:rsidRDefault="001D5A86" w:rsidP="001D5A86">
      <w:pPr>
        <w:jc w:val="both"/>
        <w:rPr>
          <w:rFonts w:ascii="Roboto" w:eastAsia="Roboto" w:hAnsi="Roboto" w:cs="Roboto"/>
          <w:color w:val="000000"/>
          <w:sz w:val="20"/>
          <w:szCs w:val="20"/>
        </w:rPr>
      </w:pPr>
      <w:r>
        <w:rPr>
          <w:rFonts w:ascii="Roboto" w:eastAsia="Roboto" w:hAnsi="Roboto" w:cs="Roboto"/>
          <w:b/>
          <w:sz w:val="20"/>
          <w:szCs w:val="20"/>
        </w:rPr>
        <w:t xml:space="preserve">Figura </w:t>
      </w:r>
      <w:r>
        <w:rPr>
          <w:rFonts w:ascii="Roboto" w:eastAsia="Roboto" w:hAnsi="Roboto" w:cs="Roboto"/>
          <w:b/>
          <w:sz w:val="20"/>
          <w:szCs w:val="20"/>
        </w:rPr>
        <w:t>3</w:t>
      </w:r>
      <w:r>
        <w:rPr>
          <w:rFonts w:ascii="Roboto" w:eastAsia="Roboto" w:hAnsi="Roboto" w:cs="Roboto"/>
          <w:sz w:val="20"/>
          <w:szCs w:val="20"/>
        </w:rPr>
        <w:t xml:space="preserve">. </w:t>
      </w:r>
      <w:r>
        <w:rPr>
          <w:rFonts w:ascii="Roboto" w:eastAsia="Roboto" w:hAnsi="Roboto" w:cs="Roboto"/>
          <w:sz w:val="20"/>
          <w:szCs w:val="20"/>
        </w:rPr>
        <w:t>En la geografía Michoacana, los tres jugadores referidos en la obra de</w:t>
      </w:r>
      <w:r>
        <w:rPr>
          <w:rFonts w:ascii="Roboto" w:eastAsia="Roboto" w:hAnsi="Roboto" w:cs="Roboto"/>
          <w:sz w:val="20"/>
          <w:szCs w:val="20"/>
        </w:rPr>
        <w:t xml:space="preserve"> </w:t>
      </w:r>
      <w:sdt>
        <w:sdtPr>
          <w:rPr>
            <w:rFonts w:ascii="Roboto" w:eastAsia="Roboto" w:hAnsi="Roboto" w:cs="Roboto"/>
            <w:sz w:val="20"/>
            <w:szCs w:val="20"/>
          </w:rPr>
          <w:id w:val="1274441501"/>
          <w:citation/>
        </w:sdtPr>
        <w:sdtContent>
          <w:r>
            <w:rPr>
              <w:rFonts w:ascii="Roboto" w:eastAsia="Roboto" w:hAnsi="Roboto" w:cs="Roboto"/>
              <w:sz w:val="20"/>
              <w:szCs w:val="20"/>
            </w:rPr>
            <w:fldChar w:fldCharType="begin"/>
          </w:r>
          <w:r>
            <w:rPr>
              <w:rFonts w:ascii="Roboto" w:eastAsia="Roboto" w:hAnsi="Roboto" w:cs="Roboto"/>
              <w:sz w:val="20"/>
              <w:szCs w:val="20"/>
            </w:rPr>
            <w:instrText xml:space="preserve"> CITATION Lóp251 \l 2058 </w:instrText>
          </w:r>
          <w:r>
            <w:rPr>
              <w:rFonts w:ascii="Roboto" w:eastAsia="Roboto" w:hAnsi="Roboto" w:cs="Roboto"/>
              <w:sz w:val="20"/>
              <w:szCs w:val="20"/>
            </w:rPr>
            <w:fldChar w:fldCharType="separate"/>
          </w:r>
          <w:r w:rsidRPr="001D5A86">
            <w:rPr>
              <w:rFonts w:ascii="Roboto" w:eastAsia="Roboto" w:hAnsi="Roboto" w:cs="Roboto"/>
              <w:noProof/>
              <w:sz w:val="20"/>
              <w:szCs w:val="20"/>
            </w:rPr>
            <w:t>(López-Barrientos, Flores-Herrera, Fernández-Arias, &amp; Escobedo-Trujillo, 2025)</w:t>
          </w:r>
          <w:r>
            <w:rPr>
              <w:rFonts w:ascii="Roboto" w:eastAsia="Roboto" w:hAnsi="Roboto" w:cs="Roboto"/>
              <w:sz w:val="20"/>
              <w:szCs w:val="20"/>
            </w:rPr>
            <w:fldChar w:fldCharType="end"/>
          </w:r>
        </w:sdtContent>
      </w:sdt>
      <w:r>
        <w:rPr>
          <w:rFonts w:ascii="Roboto" w:eastAsia="Roboto" w:hAnsi="Roboto" w:cs="Roboto"/>
          <w:sz w:val="20"/>
          <w:szCs w:val="20"/>
        </w:rPr>
        <w:t xml:space="preserve"> </w:t>
      </w:r>
      <w:r w:rsidRPr="001D5A86">
        <w:rPr>
          <w:rFonts w:ascii="Roboto" w:eastAsia="Roboto" w:hAnsi="Roboto" w:cs="Roboto"/>
          <w:i/>
          <w:iCs/>
          <w:sz w:val="20"/>
          <w:szCs w:val="20"/>
        </w:rPr>
        <w:t>no</w:t>
      </w:r>
      <w:r>
        <w:rPr>
          <w:rFonts w:ascii="Roboto" w:eastAsia="Roboto" w:hAnsi="Roboto" w:cs="Roboto"/>
          <w:sz w:val="20"/>
          <w:szCs w:val="20"/>
        </w:rPr>
        <w:t xml:space="preserve"> se encuentran en un polígono plano</w:t>
      </w:r>
      <w:r>
        <w:rPr>
          <w:rFonts w:ascii="Roboto" w:eastAsia="Roboto" w:hAnsi="Roboto" w:cs="Roboto"/>
          <w:sz w:val="20"/>
          <w:szCs w:val="20"/>
        </w:rPr>
        <w:t>.</w:t>
      </w:r>
    </w:p>
    <w:p w14:paraId="324541D5" w14:textId="77777777" w:rsidR="001D5A86" w:rsidRDefault="001D5A86" w:rsidP="00557F1F">
      <w:pPr>
        <w:keepNext/>
        <w:jc w:val="both"/>
        <w:rPr>
          <w:rFonts w:ascii="Roboto" w:eastAsia="Roboto" w:hAnsi="Roboto" w:cs="Roboto"/>
          <w:sz w:val="20"/>
          <w:szCs w:val="20"/>
        </w:rPr>
      </w:pPr>
    </w:p>
    <w:p w14:paraId="3048D250" w14:textId="427BAEC5" w:rsidR="00557F1F" w:rsidRDefault="00557F1F" w:rsidP="00557F1F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color w:val="000000"/>
          <w:sz w:val="20"/>
          <w:szCs w:val="20"/>
        </w:rPr>
      </w:pPr>
      <w:r>
        <w:rPr>
          <w:rFonts w:ascii="Roboto" w:eastAsia="Roboto" w:hAnsi="Roboto" w:cs="Roboto"/>
          <w:b/>
          <w:color w:val="000000"/>
          <w:sz w:val="20"/>
          <w:szCs w:val="20"/>
        </w:rPr>
        <w:t>CUARTA</w:t>
      </w:r>
      <w:r>
        <w:rPr>
          <w:rFonts w:ascii="Roboto" w:eastAsia="Roboto" w:hAnsi="Roboto" w:cs="Roboto"/>
          <w:b/>
          <w:color w:val="000000"/>
          <w:sz w:val="20"/>
          <w:szCs w:val="20"/>
        </w:rPr>
        <w:t xml:space="preserve"> FASE: </w:t>
      </w:r>
      <w:r w:rsidR="00FE786A">
        <w:rPr>
          <w:rFonts w:ascii="Roboto" w:eastAsia="Roboto" w:hAnsi="Roboto" w:cs="Roboto"/>
          <w:b/>
          <w:color w:val="000000"/>
          <w:sz w:val="20"/>
          <w:szCs w:val="20"/>
        </w:rPr>
        <w:t>AMPLIACIÓN DEL JUEGO</w:t>
      </w:r>
    </w:p>
    <w:p w14:paraId="38B370B2" w14:textId="2085ED00" w:rsidR="00FC5660" w:rsidRDefault="00557F1F">
      <w:pPr>
        <w:jc w:val="both"/>
        <w:rPr>
          <w:rFonts w:ascii="Roboto" w:eastAsia="Roboto" w:hAnsi="Roboto" w:cs="Roboto"/>
          <w:sz w:val="20"/>
          <w:szCs w:val="20"/>
        </w:rPr>
      </w:pPr>
      <w:r w:rsidRPr="00557F1F">
        <w:rPr>
          <w:rFonts w:ascii="Roboto" w:eastAsia="Roboto" w:hAnsi="Roboto" w:cs="Roboto"/>
          <w:sz w:val="20"/>
          <w:szCs w:val="20"/>
        </w:rPr>
        <w:t>En la última fase del proyecto, consideramos el costo de instalar y operar un patio de empaque para estudiar la factibilidad de los agentes centrales del juego propuesto por</w:t>
      </w:r>
      <w:r w:rsidR="001D5A86">
        <w:rPr>
          <w:rFonts w:ascii="Roboto" w:eastAsia="Roboto" w:hAnsi="Roboto" w:cs="Roboto"/>
          <w:sz w:val="20"/>
          <w:szCs w:val="20"/>
        </w:rPr>
        <w:t xml:space="preserve"> </w:t>
      </w:r>
      <w:r w:rsidR="0080546C" w:rsidRPr="001D5A86">
        <w:rPr>
          <w:rFonts w:ascii="Roboto" w:eastAsia="Roboto" w:hAnsi="Roboto" w:cs="Roboto"/>
          <w:noProof/>
          <w:sz w:val="20"/>
          <w:szCs w:val="20"/>
        </w:rPr>
        <w:t>(López-Barrientos, Escobedo-Trujillo, &amp; Fernández-Arias, 2025)</w:t>
      </w:r>
      <w:r w:rsidR="001D5A86">
        <w:rPr>
          <w:rFonts w:ascii="Roboto" w:eastAsia="Roboto" w:hAnsi="Roboto" w:cs="Roboto"/>
          <w:sz w:val="20"/>
          <w:szCs w:val="20"/>
        </w:rPr>
        <w:t xml:space="preserve"> </w:t>
      </w:r>
      <w:r w:rsidRPr="00557F1F">
        <w:rPr>
          <w:rFonts w:ascii="Roboto" w:eastAsia="Roboto" w:hAnsi="Roboto" w:cs="Roboto"/>
          <w:sz w:val="20"/>
          <w:szCs w:val="20"/>
        </w:rPr>
        <w:t xml:space="preserve">coloquen más de un patio durante el juego. Para este efecto, empleamos el reporte elaborado por </w:t>
      </w:r>
      <w:sdt>
        <w:sdtPr>
          <w:rPr>
            <w:rFonts w:ascii="Roboto" w:eastAsia="Roboto" w:hAnsi="Roboto" w:cs="Roboto"/>
            <w:sz w:val="20"/>
            <w:szCs w:val="20"/>
          </w:rPr>
          <w:id w:val="1937162710"/>
          <w:citation/>
        </w:sdtPr>
        <w:sdtContent>
          <w:r w:rsidR="001D5A86">
            <w:rPr>
              <w:rFonts w:ascii="Roboto" w:eastAsia="Roboto" w:hAnsi="Roboto" w:cs="Roboto"/>
              <w:sz w:val="20"/>
              <w:szCs w:val="20"/>
            </w:rPr>
            <w:fldChar w:fldCharType="begin"/>
          </w:r>
          <w:r w:rsidR="001D5A86">
            <w:rPr>
              <w:rFonts w:ascii="Roboto" w:eastAsia="Roboto" w:hAnsi="Roboto" w:cs="Roboto"/>
              <w:sz w:val="20"/>
              <w:szCs w:val="20"/>
            </w:rPr>
            <w:instrText xml:space="preserve"> CITATION Ser23 \l 2058 </w:instrText>
          </w:r>
          <w:r w:rsidR="001D5A86">
            <w:rPr>
              <w:rFonts w:ascii="Roboto" w:eastAsia="Roboto" w:hAnsi="Roboto" w:cs="Roboto"/>
              <w:sz w:val="20"/>
              <w:szCs w:val="20"/>
            </w:rPr>
            <w:fldChar w:fldCharType="separate"/>
          </w:r>
          <w:r w:rsidR="001D5A86" w:rsidRPr="001D5A86">
            <w:rPr>
              <w:rFonts w:ascii="Roboto" w:eastAsia="Roboto" w:hAnsi="Roboto" w:cs="Roboto"/>
              <w:noProof/>
              <w:sz w:val="20"/>
              <w:szCs w:val="20"/>
            </w:rPr>
            <w:t>(Seriñá Garza, 2023)</w:t>
          </w:r>
          <w:r w:rsidR="001D5A86">
            <w:rPr>
              <w:rFonts w:ascii="Roboto" w:eastAsia="Roboto" w:hAnsi="Roboto" w:cs="Roboto"/>
              <w:sz w:val="20"/>
              <w:szCs w:val="20"/>
            </w:rPr>
            <w:fldChar w:fldCharType="end"/>
          </w:r>
        </w:sdtContent>
      </w:sdt>
      <w:r w:rsidRPr="00557F1F">
        <w:rPr>
          <w:rFonts w:ascii="Roboto" w:eastAsia="Roboto" w:hAnsi="Roboto" w:cs="Roboto"/>
          <w:sz w:val="20"/>
          <w:szCs w:val="20"/>
        </w:rPr>
        <w:t>.</w:t>
      </w:r>
    </w:p>
    <w:p w14:paraId="0D1D4DD5" w14:textId="7E3535BF" w:rsidR="0080546C" w:rsidRDefault="0080546C">
      <w:pP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noProof/>
          <w:sz w:val="20"/>
          <w:szCs w:val="20"/>
        </w:rPr>
        <w:drawing>
          <wp:inline distT="0" distB="0" distL="0" distR="0" wp14:anchorId="5A5BEE99" wp14:editId="4CE1DAF0">
            <wp:extent cx="3011170" cy="1693545"/>
            <wp:effectExtent l="0" t="0" r="0" b="1905"/>
            <wp:docPr id="1546462075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46462075" name="Imagen 1546462075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11170" cy="16935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FBFB46" w14:textId="7FF078D7" w:rsidR="0080546C" w:rsidRDefault="0080546C" w:rsidP="0080546C">
      <w:pP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b/>
          <w:sz w:val="20"/>
          <w:szCs w:val="20"/>
        </w:rPr>
        <w:t xml:space="preserve">Figura </w:t>
      </w:r>
      <w:r>
        <w:rPr>
          <w:rFonts w:ascii="Roboto" w:eastAsia="Roboto" w:hAnsi="Roboto" w:cs="Roboto"/>
          <w:b/>
          <w:sz w:val="20"/>
          <w:szCs w:val="20"/>
        </w:rPr>
        <w:t>4</w:t>
      </w:r>
      <w:r>
        <w:rPr>
          <w:rFonts w:ascii="Roboto" w:eastAsia="Roboto" w:hAnsi="Roboto" w:cs="Roboto"/>
          <w:sz w:val="20"/>
          <w:szCs w:val="20"/>
        </w:rPr>
        <w:t xml:space="preserve">. </w:t>
      </w:r>
      <w:r>
        <w:rPr>
          <w:rFonts w:ascii="Roboto" w:eastAsia="Roboto" w:hAnsi="Roboto" w:cs="Roboto"/>
          <w:sz w:val="20"/>
          <w:szCs w:val="20"/>
        </w:rPr>
        <w:t xml:space="preserve">Exterior de </w:t>
      </w:r>
      <w:r w:rsidR="00FE786A">
        <w:rPr>
          <w:rFonts w:ascii="Roboto" w:eastAsia="Roboto" w:hAnsi="Roboto" w:cs="Roboto"/>
          <w:sz w:val="20"/>
          <w:szCs w:val="20"/>
        </w:rPr>
        <w:t>u</w:t>
      </w:r>
      <w:r>
        <w:rPr>
          <w:rFonts w:ascii="Roboto" w:eastAsia="Roboto" w:hAnsi="Roboto" w:cs="Roboto"/>
          <w:sz w:val="20"/>
          <w:szCs w:val="20"/>
        </w:rPr>
        <w:t>n patio de empaque</w:t>
      </w:r>
      <w:r>
        <w:rPr>
          <w:rFonts w:ascii="Roboto" w:eastAsia="Roboto" w:hAnsi="Roboto" w:cs="Roboto"/>
          <w:sz w:val="20"/>
          <w:szCs w:val="20"/>
        </w:rPr>
        <w:t xml:space="preserve">. Fuente: </w:t>
      </w:r>
      <w:sdt>
        <w:sdtPr>
          <w:rPr>
            <w:rFonts w:ascii="Roboto" w:eastAsia="Roboto" w:hAnsi="Roboto" w:cs="Roboto"/>
            <w:sz w:val="20"/>
            <w:szCs w:val="20"/>
          </w:rPr>
          <w:id w:val="-704096894"/>
          <w:citation/>
        </w:sdtPr>
        <w:sdtContent>
          <w:r>
            <w:rPr>
              <w:rFonts w:ascii="Roboto" w:eastAsia="Roboto" w:hAnsi="Roboto" w:cs="Roboto"/>
              <w:sz w:val="20"/>
              <w:szCs w:val="20"/>
            </w:rPr>
            <w:fldChar w:fldCharType="begin"/>
          </w:r>
          <w:r>
            <w:rPr>
              <w:rFonts w:ascii="Roboto" w:eastAsia="Roboto" w:hAnsi="Roboto" w:cs="Roboto"/>
              <w:sz w:val="20"/>
              <w:szCs w:val="20"/>
            </w:rPr>
            <w:instrText xml:space="preserve"> CITATION Ser23 \l 2058 </w:instrText>
          </w:r>
          <w:r>
            <w:rPr>
              <w:rFonts w:ascii="Roboto" w:eastAsia="Roboto" w:hAnsi="Roboto" w:cs="Roboto"/>
              <w:sz w:val="20"/>
              <w:szCs w:val="20"/>
            </w:rPr>
            <w:fldChar w:fldCharType="separate"/>
          </w:r>
          <w:r w:rsidRPr="0080546C">
            <w:rPr>
              <w:rFonts w:ascii="Roboto" w:eastAsia="Roboto" w:hAnsi="Roboto" w:cs="Roboto"/>
              <w:noProof/>
              <w:sz w:val="20"/>
              <w:szCs w:val="20"/>
            </w:rPr>
            <w:t>(Seriñá Garza, 2023)</w:t>
          </w:r>
          <w:r>
            <w:rPr>
              <w:rFonts w:ascii="Roboto" w:eastAsia="Roboto" w:hAnsi="Roboto" w:cs="Roboto"/>
              <w:sz w:val="20"/>
              <w:szCs w:val="20"/>
            </w:rPr>
            <w:fldChar w:fldCharType="end"/>
          </w:r>
        </w:sdtContent>
      </w:sdt>
      <w:r>
        <w:rPr>
          <w:rFonts w:ascii="Roboto" w:eastAsia="Roboto" w:hAnsi="Roboto" w:cs="Roboto"/>
          <w:sz w:val="20"/>
          <w:szCs w:val="20"/>
        </w:rPr>
        <w:t>.</w:t>
      </w:r>
    </w:p>
    <w:p w14:paraId="62E503DF" w14:textId="77777777" w:rsidR="0080546C" w:rsidRDefault="0080546C">
      <w:pPr>
        <w:jc w:val="both"/>
        <w:rPr>
          <w:rFonts w:ascii="Roboto" w:eastAsia="Roboto" w:hAnsi="Roboto" w:cs="Roboto"/>
          <w:sz w:val="20"/>
          <w:szCs w:val="20"/>
        </w:rPr>
      </w:pPr>
    </w:p>
    <w:sdt>
      <w:sdtPr>
        <w:rPr>
          <w:lang w:val="es-ES"/>
        </w:rPr>
        <w:id w:val="-1826660076"/>
        <w:docPartObj>
          <w:docPartGallery w:val="Bibliographies"/>
          <w:docPartUnique/>
        </w:docPartObj>
      </w:sdtPr>
      <w:sdtEndPr>
        <w:rPr>
          <w:b w:val="0"/>
          <w:sz w:val="24"/>
          <w:szCs w:val="24"/>
          <w:lang w:val="es-MX"/>
        </w:rPr>
      </w:sdtEndPr>
      <w:sdtContent>
        <w:p w14:paraId="51C88878" w14:textId="5B999B5E" w:rsidR="00D51F21" w:rsidRPr="0080546C" w:rsidRDefault="0080546C">
          <w:pPr>
            <w:pStyle w:val="Ttulo1"/>
            <w:rPr>
              <w:rFonts w:ascii="Roboto" w:eastAsia="Roboto" w:hAnsi="Roboto" w:cs="Roboto"/>
              <w:color w:val="000000"/>
              <w:sz w:val="20"/>
              <w:szCs w:val="20"/>
            </w:rPr>
          </w:pPr>
          <w:r w:rsidRPr="0080546C">
            <w:rPr>
              <w:rFonts w:ascii="Roboto" w:eastAsia="Roboto" w:hAnsi="Roboto" w:cs="Roboto"/>
              <w:color w:val="000000"/>
              <w:sz w:val="20"/>
              <w:szCs w:val="20"/>
            </w:rPr>
            <w:t>REFERENCIAS</w:t>
          </w:r>
        </w:p>
        <w:sdt>
          <w:sdtPr>
            <w:id w:val="-573587230"/>
            <w:bibliography/>
          </w:sdtPr>
          <w:sdtContent>
            <w:p w14:paraId="686F5755" w14:textId="77777777" w:rsidR="001D5A86" w:rsidRPr="0080546C" w:rsidRDefault="00D51F21" w:rsidP="001D5A86">
              <w:pPr>
                <w:pStyle w:val="Bibliografa"/>
                <w:ind w:left="720" w:hanging="720"/>
                <w:rPr>
                  <w:noProof/>
                  <w:sz w:val="20"/>
                  <w:szCs w:val="20"/>
                  <w:lang w:val="en-US"/>
                </w:rPr>
              </w:pPr>
              <w:r w:rsidRPr="0080546C">
                <w:rPr>
                  <w:sz w:val="20"/>
                  <w:szCs w:val="20"/>
                </w:rPr>
                <w:fldChar w:fldCharType="begin"/>
              </w:r>
              <w:r w:rsidRPr="0080546C">
                <w:rPr>
                  <w:sz w:val="20"/>
                  <w:szCs w:val="20"/>
                  <w:lang w:val="fr-FR"/>
                </w:rPr>
                <w:instrText>BIBLIOGRAPHY</w:instrText>
              </w:r>
              <w:r w:rsidRPr="0080546C">
                <w:rPr>
                  <w:sz w:val="20"/>
                  <w:szCs w:val="20"/>
                </w:rPr>
                <w:fldChar w:fldCharType="separate"/>
              </w:r>
              <w:r w:rsidR="001D5A86" w:rsidRPr="0080546C">
                <w:rPr>
                  <w:noProof/>
                  <w:sz w:val="20"/>
                  <w:szCs w:val="20"/>
                  <w:lang w:val="fr-FR"/>
                </w:rPr>
                <w:t xml:space="preserve">Aurenhammer, F., Klein, R., &amp; Lee, D.-T. (2013). </w:t>
              </w:r>
              <w:r w:rsidR="001D5A86" w:rsidRPr="0080546C">
                <w:rPr>
                  <w:i/>
                  <w:iCs/>
                  <w:noProof/>
                  <w:sz w:val="20"/>
                  <w:szCs w:val="20"/>
                  <w:lang w:val="en-US"/>
                </w:rPr>
                <w:t>Voronoi Diagrams and Delaunay Triangulations.</w:t>
              </w:r>
              <w:r w:rsidR="001D5A86" w:rsidRPr="0080546C">
                <w:rPr>
                  <w:noProof/>
                  <w:sz w:val="20"/>
                  <w:szCs w:val="20"/>
                  <w:lang w:val="en-US"/>
                </w:rPr>
                <w:t xml:space="preserve"> Singapore: World Scientific.</w:t>
              </w:r>
            </w:p>
            <w:p w14:paraId="12763551" w14:textId="77777777" w:rsidR="001D5A86" w:rsidRPr="0080546C" w:rsidRDefault="001D5A86" w:rsidP="001D5A86">
              <w:pPr>
                <w:pStyle w:val="Bibliografa"/>
                <w:ind w:left="720" w:hanging="720"/>
                <w:rPr>
                  <w:noProof/>
                  <w:sz w:val="20"/>
                  <w:szCs w:val="20"/>
                  <w:lang w:val="fr-FR"/>
                </w:rPr>
              </w:pPr>
              <w:r w:rsidRPr="0080546C">
                <w:rPr>
                  <w:noProof/>
                  <w:sz w:val="20"/>
                  <w:szCs w:val="20"/>
                  <w:lang w:val="en-US"/>
                </w:rPr>
                <w:t xml:space="preserve">Bandyapadhyay, S., Banik, A., Das, S., &amp; Sarkar, H. (2015). </w:t>
              </w:r>
              <w:r w:rsidRPr="0080546C">
                <w:rPr>
                  <w:noProof/>
                  <w:sz w:val="20"/>
                  <w:szCs w:val="20"/>
                  <w:lang w:val="fr-FR"/>
                </w:rPr>
                <w:t xml:space="preserve">Voronoi game on graphs. </w:t>
              </w:r>
              <w:r w:rsidRPr="0080546C">
                <w:rPr>
                  <w:i/>
                  <w:iCs/>
                  <w:noProof/>
                  <w:sz w:val="20"/>
                  <w:szCs w:val="20"/>
                  <w:lang w:val="fr-FR"/>
                </w:rPr>
                <w:t>Theoretical Computer Science, 562</w:t>
              </w:r>
              <w:r w:rsidRPr="0080546C">
                <w:rPr>
                  <w:noProof/>
                  <w:sz w:val="20"/>
                  <w:szCs w:val="20"/>
                  <w:lang w:val="fr-FR"/>
                </w:rPr>
                <w:t>, 270-282. doi:10.1016/j.tcs.2014.10.003</w:t>
              </w:r>
            </w:p>
            <w:p w14:paraId="5BE82B4E" w14:textId="77777777" w:rsidR="001D5A86" w:rsidRPr="0080546C" w:rsidRDefault="001D5A86" w:rsidP="001D5A86">
              <w:pPr>
                <w:pStyle w:val="Bibliografa"/>
                <w:ind w:left="720" w:hanging="720"/>
                <w:rPr>
                  <w:noProof/>
                  <w:sz w:val="20"/>
                  <w:szCs w:val="20"/>
                </w:rPr>
              </w:pPr>
              <w:r w:rsidRPr="0080546C">
                <w:rPr>
                  <w:noProof/>
                  <w:sz w:val="20"/>
                  <w:szCs w:val="20"/>
                  <w:lang w:val="fr-FR"/>
                </w:rPr>
                <w:t xml:space="preserve">Gutiérrez-Contreras, M., Lara-Chávez, M. B., Guillén-Andrade, H., &amp; Chávez-Bárcenas, A. T. (2010). </w:t>
              </w:r>
              <w:r w:rsidRPr="0080546C">
                <w:rPr>
                  <w:noProof/>
                  <w:sz w:val="20"/>
                  <w:szCs w:val="20"/>
                </w:rPr>
                <w:t xml:space="preserve">Agroecología de la franja aguacatera en Michoacán, México. </w:t>
              </w:r>
              <w:r w:rsidRPr="0080546C">
                <w:rPr>
                  <w:i/>
                  <w:iCs/>
                  <w:noProof/>
                  <w:sz w:val="20"/>
                  <w:szCs w:val="20"/>
                </w:rPr>
                <w:t>Interciencia, 35</w:t>
              </w:r>
              <w:r w:rsidRPr="0080546C">
                <w:rPr>
                  <w:noProof/>
                  <w:sz w:val="20"/>
                  <w:szCs w:val="20"/>
                </w:rPr>
                <w:t>(9), 647-653. Retrieved from https://www.redalyc.org/articulo.oa?id=33914212003</w:t>
              </w:r>
            </w:p>
            <w:p w14:paraId="74D24917" w14:textId="77777777" w:rsidR="001D5A86" w:rsidRPr="0080546C" w:rsidRDefault="001D5A86" w:rsidP="001D5A86">
              <w:pPr>
                <w:pStyle w:val="Bibliografa"/>
                <w:ind w:left="720" w:hanging="720"/>
                <w:rPr>
                  <w:noProof/>
                  <w:sz w:val="20"/>
                  <w:szCs w:val="20"/>
                  <w:lang w:val="en-US"/>
                </w:rPr>
              </w:pPr>
              <w:r w:rsidRPr="0080546C">
                <w:rPr>
                  <w:noProof/>
                  <w:sz w:val="20"/>
                  <w:szCs w:val="20"/>
                </w:rPr>
                <w:t xml:space="preserve">Ibarra Moreno, G., &amp; García García, S. (2024). Implementación geométrica del método de diagramas de Voronoi y la propuesta de Lopéz-Barrientos para intentar disminuir el robo en el transporte de aguacate en Michoacán, México. </w:t>
              </w:r>
              <w:r w:rsidRPr="0080546C">
                <w:rPr>
                  <w:i/>
                  <w:iCs/>
                  <w:noProof/>
                  <w:sz w:val="20"/>
                  <w:szCs w:val="20"/>
                  <w:lang w:val="en-US"/>
                </w:rPr>
                <w:t>Practicum II</w:t>
              </w:r>
              <w:r w:rsidRPr="0080546C">
                <w:rPr>
                  <w:noProof/>
                  <w:sz w:val="20"/>
                  <w:szCs w:val="20"/>
                  <w:lang w:val="en-US"/>
                </w:rPr>
                <w:t>. Retrieved from https://www.dropbox.com/scl/fi/sceb6enwj0g6q2gbxvyrm/Trabajo-Final-Pr-cticum.pdf?rlkey=sjx3ygpgfhr0628l6rcm69zrp&amp;dl=0</w:t>
              </w:r>
            </w:p>
            <w:p w14:paraId="424AFDED" w14:textId="77777777" w:rsidR="001D5A86" w:rsidRPr="0080546C" w:rsidRDefault="001D5A86" w:rsidP="001D5A86">
              <w:pPr>
                <w:pStyle w:val="Bibliografa"/>
                <w:ind w:left="720" w:hanging="720"/>
                <w:rPr>
                  <w:noProof/>
                  <w:sz w:val="20"/>
                  <w:szCs w:val="20"/>
                  <w:lang w:val="en-US"/>
                </w:rPr>
              </w:pPr>
              <w:r w:rsidRPr="0080546C">
                <w:rPr>
                  <w:noProof/>
                  <w:sz w:val="20"/>
                  <w:szCs w:val="20"/>
                  <w:lang w:val="fr-FR"/>
                </w:rPr>
                <w:t xml:space="preserve">Li, C.-J., Lamberti, P., &amp; Dagnino, C. (2009). </w:t>
              </w:r>
              <w:r w:rsidRPr="0080546C">
                <w:rPr>
                  <w:noProof/>
                  <w:sz w:val="20"/>
                  <w:szCs w:val="20"/>
                  <w:lang w:val="en-US"/>
                </w:rPr>
                <w:t xml:space="preserve">Numerical integration over polygons using an eight-node quadrilateral spline finite element. </w:t>
              </w:r>
              <w:r w:rsidRPr="0080546C">
                <w:rPr>
                  <w:i/>
                  <w:iCs/>
                  <w:noProof/>
                  <w:sz w:val="20"/>
                  <w:szCs w:val="20"/>
                  <w:lang w:val="en-US"/>
                </w:rPr>
                <w:t>Journal of Computational and Applied Mathematics, 233</w:t>
              </w:r>
              <w:r w:rsidRPr="0080546C">
                <w:rPr>
                  <w:noProof/>
                  <w:sz w:val="20"/>
                  <w:szCs w:val="20"/>
                  <w:lang w:val="en-US"/>
                </w:rPr>
                <w:t>(2), 279-292. doi:10.1016/j.cam.2009.07.017</w:t>
              </w:r>
            </w:p>
            <w:p w14:paraId="51FC4FA1" w14:textId="77777777" w:rsidR="001D5A86" w:rsidRPr="0080546C" w:rsidRDefault="001D5A86" w:rsidP="001D5A86">
              <w:pPr>
                <w:pStyle w:val="Bibliografa"/>
                <w:ind w:left="720" w:hanging="720"/>
                <w:rPr>
                  <w:noProof/>
                  <w:sz w:val="20"/>
                  <w:szCs w:val="20"/>
                  <w:lang w:val="en-US"/>
                </w:rPr>
              </w:pPr>
              <w:r w:rsidRPr="0080546C">
                <w:rPr>
                  <w:noProof/>
                  <w:sz w:val="20"/>
                  <w:szCs w:val="20"/>
                  <w:lang w:val="en-US"/>
                </w:rPr>
                <w:t xml:space="preserve">López-Barrientos, J. D., Escobedo-Trujillo, B. A., &amp; Fernández-Arias, E. (2025). A mean-field approach for ergodic nonzero-sum stochastic games in a system of interacting objects with additive costs. </w:t>
              </w:r>
              <w:r w:rsidRPr="0080546C">
                <w:rPr>
                  <w:i/>
                  <w:iCs/>
                  <w:noProof/>
                  <w:sz w:val="20"/>
                  <w:szCs w:val="20"/>
                  <w:lang w:val="en-US"/>
                </w:rPr>
                <w:t>Dynamic Games and Applications</w:t>
              </w:r>
              <w:r w:rsidRPr="0080546C">
                <w:rPr>
                  <w:noProof/>
                  <w:sz w:val="20"/>
                  <w:szCs w:val="20"/>
                  <w:lang w:val="en-US"/>
                </w:rPr>
                <w:t>. doi:10.1007/s13235-025-00667-x</w:t>
              </w:r>
            </w:p>
            <w:p w14:paraId="5787A7DB" w14:textId="77777777" w:rsidR="001D5A86" w:rsidRPr="0080546C" w:rsidRDefault="001D5A86" w:rsidP="001D5A86">
              <w:pPr>
                <w:pStyle w:val="Bibliografa"/>
                <w:ind w:left="720" w:hanging="720"/>
                <w:rPr>
                  <w:noProof/>
                  <w:sz w:val="20"/>
                  <w:szCs w:val="20"/>
                </w:rPr>
              </w:pPr>
              <w:r w:rsidRPr="0080546C">
                <w:rPr>
                  <w:noProof/>
                  <w:sz w:val="20"/>
                  <w:szCs w:val="20"/>
                  <w:lang w:val="en-US"/>
                </w:rPr>
                <w:t xml:space="preserve">López-Barrientos, J. D., Flores-Herrera, A. P., Fernández-Arias, E., &amp; Escobedo-Trujillo, B. A. (2025). </w:t>
              </w:r>
              <w:r w:rsidRPr="0080546C">
                <w:rPr>
                  <w:noProof/>
                  <w:sz w:val="20"/>
                  <w:szCs w:val="20"/>
                </w:rPr>
                <w:t xml:space="preserve">Proposals to Transfer Risks in Avocado Load. </w:t>
              </w:r>
              <w:r w:rsidRPr="0080546C">
                <w:rPr>
                  <w:i/>
                  <w:iCs/>
                  <w:noProof/>
                  <w:sz w:val="20"/>
                  <w:szCs w:val="20"/>
                </w:rPr>
                <w:t>Revista Mexicana de Economía y Finanzas Nueva Época REMEF, 20</w:t>
              </w:r>
              <w:r w:rsidRPr="0080546C">
                <w:rPr>
                  <w:noProof/>
                  <w:sz w:val="20"/>
                  <w:szCs w:val="20"/>
                </w:rPr>
                <w:t>(2), 959. doi:10.21919/remef.v20i2.959</w:t>
              </w:r>
            </w:p>
            <w:p w14:paraId="0A3F6AA2" w14:textId="77777777" w:rsidR="001D5A86" w:rsidRPr="0080546C" w:rsidRDefault="001D5A86" w:rsidP="001D5A86">
              <w:pPr>
                <w:pStyle w:val="Bibliografa"/>
                <w:ind w:left="720" w:hanging="720"/>
                <w:rPr>
                  <w:noProof/>
                  <w:sz w:val="20"/>
                  <w:szCs w:val="20"/>
                </w:rPr>
              </w:pPr>
              <w:r w:rsidRPr="0080546C">
                <w:rPr>
                  <w:noProof/>
                  <w:sz w:val="20"/>
                  <w:szCs w:val="20"/>
                </w:rPr>
                <w:t xml:space="preserve">Overhaul. (2023). </w:t>
              </w:r>
              <w:r w:rsidRPr="0080546C">
                <w:rPr>
                  <w:i/>
                  <w:iCs/>
                  <w:noProof/>
                  <w:sz w:val="20"/>
                  <w:szCs w:val="20"/>
                </w:rPr>
                <w:t>México: Reporte anual del robo de transporte de carga.</w:t>
              </w:r>
              <w:r w:rsidRPr="0080546C">
                <w:rPr>
                  <w:noProof/>
                  <w:sz w:val="20"/>
                  <w:szCs w:val="20"/>
                </w:rPr>
                <w:t xml:space="preserve"> CDMX: Overhaul.</w:t>
              </w:r>
            </w:p>
            <w:p w14:paraId="3DEA75CF" w14:textId="77777777" w:rsidR="001D5A86" w:rsidRPr="0080546C" w:rsidRDefault="001D5A86" w:rsidP="001D5A86">
              <w:pPr>
                <w:pStyle w:val="Bibliografa"/>
                <w:ind w:left="720" w:hanging="720"/>
                <w:rPr>
                  <w:noProof/>
                  <w:sz w:val="20"/>
                  <w:szCs w:val="20"/>
                </w:rPr>
              </w:pPr>
              <w:r w:rsidRPr="0080546C">
                <w:rPr>
                  <w:noProof/>
                  <w:sz w:val="20"/>
                  <w:szCs w:val="20"/>
                </w:rPr>
                <w:t xml:space="preserve">Overhaul. (2024). </w:t>
              </w:r>
              <w:r w:rsidRPr="0080546C">
                <w:rPr>
                  <w:i/>
                  <w:iCs/>
                  <w:noProof/>
                  <w:sz w:val="20"/>
                  <w:szCs w:val="20"/>
                </w:rPr>
                <w:t>México: Reporte Anual 2024 de Robo de Transporte de Carga.</w:t>
              </w:r>
              <w:r w:rsidRPr="0080546C">
                <w:rPr>
                  <w:noProof/>
                  <w:sz w:val="20"/>
                  <w:szCs w:val="20"/>
                </w:rPr>
                <w:t xml:space="preserve"> CDMX: Overhaul.</w:t>
              </w:r>
            </w:p>
            <w:p w14:paraId="66B65F70" w14:textId="77777777" w:rsidR="001D5A86" w:rsidRPr="0080546C" w:rsidRDefault="001D5A86" w:rsidP="001D5A86">
              <w:pPr>
                <w:pStyle w:val="Bibliografa"/>
                <w:ind w:left="720" w:hanging="720"/>
                <w:rPr>
                  <w:noProof/>
                  <w:sz w:val="20"/>
                  <w:szCs w:val="20"/>
                  <w:lang w:val="en-US"/>
                </w:rPr>
              </w:pPr>
              <w:r w:rsidRPr="0080546C">
                <w:rPr>
                  <w:noProof/>
                  <w:sz w:val="20"/>
                  <w:szCs w:val="20"/>
                </w:rPr>
                <w:t xml:space="preserve">Seriñá Garza, F. (2023). Empacadora de aguacates en Michoacán. </w:t>
              </w:r>
              <w:r w:rsidRPr="0080546C">
                <w:rPr>
                  <w:i/>
                  <w:iCs/>
                  <w:noProof/>
                  <w:sz w:val="20"/>
                  <w:szCs w:val="20"/>
                  <w:lang w:val="en-US"/>
                </w:rPr>
                <w:t>Conexión Milenio</w:t>
              </w:r>
              <w:r w:rsidRPr="0080546C">
                <w:rPr>
                  <w:noProof/>
                  <w:sz w:val="20"/>
                  <w:szCs w:val="20"/>
                  <w:lang w:val="en-US"/>
                </w:rPr>
                <w:t>. Retrieved from https://youtu.be/L0jUB07g9sw?si=UlaK4E-nMseaPSwY</w:t>
              </w:r>
            </w:p>
            <w:p w14:paraId="15283CE9" w14:textId="6BB7100C" w:rsidR="00D51F21" w:rsidRDefault="00D51F21" w:rsidP="001D5A86">
              <w:r w:rsidRPr="0080546C">
                <w:rPr>
                  <w:b/>
                  <w:bCs/>
                  <w:sz w:val="20"/>
                  <w:szCs w:val="20"/>
                </w:rPr>
                <w:fldChar w:fldCharType="end"/>
              </w:r>
            </w:p>
          </w:sdtContent>
        </w:sdt>
      </w:sdtContent>
    </w:sdt>
    <w:p w14:paraId="066AA8F0" w14:textId="77777777" w:rsidR="00D51F21" w:rsidRDefault="00D51F21">
      <w:pPr>
        <w:jc w:val="both"/>
        <w:rPr>
          <w:rFonts w:ascii="Roboto" w:eastAsia="Roboto" w:hAnsi="Roboto" w:cs="Roboto"/>
        </w:rPr>
      </w:pPr>
    </w:p>
    <w:sectPr w:rsidR="00D51F21">
      <w:type w:val="continuous"/>
      <w:pgSz w:w="11906" w:h="16838"/>
      <w:pgMar w:top="1134" w:right="851" w:bottom="1134" w:left="851" w:header="357" w:footer="720" w:gutter="0"/>
      <w:cols w:num="2" w:space="720" w:equalWidth="0">
        <w:col w:w="4934" w:space="335"/>
        <w:col w:w="4934" w:space="0"/>
      </w:cols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567720" w14:textId="77777777" w:rsidR="007D08FD" w:rsidRDefault="007D08FD">
      <w:r>
        <w:separator/>
      </w:r>
    </w:p>
  </w:endnote>
  <w:endnote w:type="continuationSeparator" w:id="0">
    <w:p w14:paraId="758A328A" w14:textId="77777777" w:rsidR="007D08FD" w:rsidRDefault="007D08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Roboto">
    <w:altName w:val="Arial"/>
    <w:charset w:val="00"/>
    <w:family w:val="auto"/>
    <w:pitch w:val="variable"/>
    <w:sig w:usb0="E0000AFF" w:usb1="5000217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45654C" w14:textId="77777777" w:rsidR="007D08FD" w:rsidRDefault="007D08FD">
      <w:r>
        <w:separator/>
      </w:r>
    </w:p>
  </w:footnote>
  <w:footnote w:type="continuationSeparator" w:id="0">
    <w:p w14:paraId="1992ADD0" w14:textId="77777777" w:rsidR="007D08FD" w:rsidRDefault="007D08F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D27E1F" w14:textId="77777777" w:rsidR="00FC5660" w:rsidRDefault="00FC5660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rFonts w:ascii="Roboto" w:eastAsia="Roboto" w:hAnsi="Roboto" w:cs="Roboto"/>
      </w:rPr>
    </w:pPr>
  </w:p>
  <w:tbl>
    <w:tblPr>
      <w:tblStyle w:val="a2"/>
      <w:tblW w:w="6306" w:type="dxa"/>
      <w:jc w:val="center"/>
      <w:tblInd w:w="0" w:type="dxa"/>
      <w:tblLayout w:type="fixed"/>
      <w:tblLook w:val="0400" w:firstRow="0" w:lastRow="0" w:firstColumn="0" w:lastColumn="0" w:noHBand="0" w:noVBand="1"/>
    </w:tblPr>
    <w:tblGrid>
      <w:gridCol w:w="6306"/>
    </w:tblGrid>
    <w:tr w:rsidR="00FC5660" w14:paraId="66629EAD" w14:textId="77777777">
      <w:trPr>
        <w:trHeight w:val="345"/>
        <w:jc w:val="center"/>
      </w:trPr>
      <w:tc>
        <w:tcPr>
          <w:tcW w:w="6306" w:type="dxa"/>
          <w:vAlign w:val="center"/>
        </w:tcPr>
        <w:p w14:paraId="4C3D4A92" w14:textId="77777777" w:rsidR="00FC5660" w:rsidRDefault="00FC5660">
          <w:pPr>
            <w:jc w:val="center"/>
            <w:rPr>
              <w:i/>
              <w:sz w:val="18"/>
              <w:szCs w:val="18"/>
            </w:rPr>
          </w:pPr>
        </w:p>
      </w:tc>
    </w:tr>
  </w:tbl>
  <w:p w14:paraId="706E324E" w14:textId="77777777" w:rsidR="00FC5660" w:rsidRDefault="00FC5660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rPr>
        <w:rFonts w:ascii="Calibri" w:eastAsia="Calibri" w:hAnsi="Calibri" w:cs="Calibri"/>
        <w:color w:val="000000"/>
        <w:sz w:val="22"/>
        <w:szCs w:val="2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5660"/>
    <w:rsid w:val="001D5A86"/>
    <w:rsid w:val="003E0E26"/>
    <w:rsid w:val="00557F1F"/>
    <w:rsid w:val="00584DA7"/>
    <w:rsid w:val="006D4989"/>
    <w:rsid w:val="00761FEE"/>
    <w:rsid w:val="0077418B"/>
    <w:rsid w:val="007D08FD"/>
    <w:rsid w:val="0080546C"/>
    <w:rsid w:val="008859EE"/>
    <w:rsid w:val="00971D90"/>
    <w:rsid w:val="00A30C71"/>
    <w:rsid w:val="00A645A6"/>
    <w:rsid w:val="00BA1D17"/>
    <w:rsid w:val="00C619FD"/>
    <w:rsid w:val="00D51F21"/>
    <w:rsid w:val="00FC5660"/>
    <w:rsid w:val="00FE78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A71CF4"/>
  <w15:docId w15:val="{883F7DC9-A77F-4800-B56C-5EFA8309C5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szCs w:val="24"/>
        <w:lang w:val="es-MX" w:eastAsia="es-MX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Encabezado">
    <w:name w:val="header"/>
    <w:basedOn w:val="Normal"/>
    <w:link w:val="EncabezadoCar"/>
    <w:uiPriority w:val="99"/>
    <w:unhideWhenUsed/>
    <w:rsid w:val="005625FC"/>
    <w:pPr>
      <w:tabs>
        <w:tab w:val="center" w:pos="4320"/>
        <w:tab w:val="right" w:pos="8640"/>
      </w:tabs>
    </w:pPr>
    <w:rPr>
      <w:rFonts w:asciiTheme="minorHAnsi" w:eastAsiaTheme="minorHAnsi" w:hAnsiTheme="minorHAnsi" w:cstheme="minorBidi"/>
      <w:sz w:val="22"/>
      <w:szCs w:val="22"/>
      <w:lang w:val="en-US"/>
    </w:rPr>
  </w:style>
  <w:style w:type="character" w:customStyle="1" w:styleId="EncabezadoCar">
    <w:name w:val="Encabezado Car"/>
    <w:basedOn w:val="Fuentedeprrafopredeter"/>
    <w:link w:val="Encabezado"/>
    <w:uiPriority w:val="99"/>
    <w:rsid w:val="005625FC"/>
    <w:rPr>
      <w:lang w:val="en-US"/>
    </w:rPr>
  </w:style>
  <w:style w:type="paragraph" w:customStyle="1" w:styleId="AUTHORSNAMES">
    <w:name w:val="AUTHORS NAMES"/>
    <w:basedOn w:val="Normal"/>
    <w:qFormat/>
    <w:rsid w:val="005625FC"/>
    <w:pPr>
      <w:spacing w:before="120" w:after="120" w:line="240" w:lineRule="atLeast"/>
    </w:pPr>
    <w:rPr>
      <w:b/>
      <w:sz w:val="22"/>
      <w:szCs w:val="20"/>
    </w:rPr>
  </w:style>
  <w:style w:type="paragraph" w:customStyle="1" w:styleId="AFFILIATIONS">
    <w:name w:val="AFFILIATIONS"/>
    <w:basedOn w:val="Normal"/>
    <w:qFormat/>
    <w:rsid w:val="005625FC"/>
    <w:pPr>
      <w:spacing w:line="240" w:lineRule="atLeast"/>
    </w:pPr>
    <w:rPr>
      <w:sz w:val="18"/>
      <w:szCs w:val="20"/>
      <w:vertAlign w:val="superscript"/>
      <w:lang w:val="en-US"/>
    </w:rPr>
  </w:style>
  <w:style w:type="paragraph" w:styleId="Textocomentario">
    <w:name w:val="annotation text"/>
    <w:basedOn w:val="Normal"/>
    <w:link w:val="TextocomentarioCar"/>
    <w:rsid w:val="005625FC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rsid w:val="005625FC"/>
    <w:rPr>
      <w:rFonts w:ascii="Times New Roman" w:eastAsia="Times New Roman" w:hAnsi="Times New Roman" w:cs="Times New Roman"/>
      <w:sz w:val="20"/>
      <w:szCs w:val="20"/>
      <w:lang w:val="tr-TR" w:eastAsia="tr-TR"/>
    </w:rPr>
  </w:style>
  <w:style w:type="character" w:styleId="Hipervnculo">
    <w:name w:val="Hyperlink"/>
    <w:basedOn w:val="Fuentedeprrafopredeter"/>
    <w:uiPriority w:val="99"/>
    <w:unhideWhenUsed/>
    <w:rsid w:val="005625FC"/>
    <w:rPr>
      <w:color w:val="0563C1" w:themeColor="hyperlink"/>
      <w:u w:val="single"/>
    </w:rPr>
  </w:style>
  <w:style w:type="paragraph" w:styleId="Piedepgina">
    <w:name w:val="footer"/>
    <w:basedOn w:val="Normal"/>
    <w:link w:val="PiedepginaCar"/>
    <w:uiPriority w:val="99"/>
    <w:unhideWhenUsed/>
    <w:rsid w:val="00B12BB3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B12BB3"/>
    <w:rPr>
      <w:rFonts w:ascii="Times New Roman" w:eastAsia="Times New Roman" w:hAnsi="Times New Roman" w:cs="Times New Roman"/>
      <w:sz w:val="24"/>
      <w:szCs w:val="24"/>
      <w:lang w:val="tr-TR" w:eastAsia="tr-TR"/>
    </w:rPr>
  </w:style>
  <w:style w:type="character" w:styleId="Mencinsinresolver">
    <w:name w:val="Unresolved Mention"/>
    <w:basedOn w:val="Fuentedeprrafopredeter"/>
    <w:uiPriority w:val="99"/>
    <w:semiHidden/>
    <w:unhideWhenUsed/>
    <w:rsid w:val="00AC5917"/>
    <w:rPr>
      <w:color w:val="605E5C"/>
      <w:shd w:val="clear" w:color="auto" w:fill="E1DFDD"/>
    </w:rPr>
  </w:style>
  <w:style w:type="table" w:customStyle="1" w:styleId="a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0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1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2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character" w:customStyle="1" w:styleId="Ttulo1Car">
    <w:name w:val="Título 1 Car"/>
    <w:basedOn w:val="Fuentedeprrafopredeter"/>
    <w:link w:val="Ttulo1"/>
    <w:uiPriority w:val="9"/>
    <w:rsid w:val="00D51F21"/>
    <w:rPr>
      <w:b/>
      <w:sz w:val="48"/>
      <w:szCs w:val="48"/>
    </w:rPr>
  </w:style>
  <w:style w:type="paragraph" w:styleId="Bibliografa">
    <w:name w:val="Bibliography"/>
    <w:basedOn w:val="Normal"/>
    <w:next w:val="Normal"/>
    <w:uiPriority w:val="37"/>
    <w:unhideWhenUsed/>
    <w:rsid w:val="00D51F2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41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1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9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9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15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7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49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7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9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77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2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739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969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36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0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44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1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8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15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34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45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76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827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399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839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63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18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9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672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348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99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51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84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21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32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6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512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009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7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67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62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53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23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792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94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63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45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468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67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80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97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62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87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03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99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89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0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040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88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53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58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09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80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682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38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30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11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73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2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912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64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880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04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31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17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34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40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1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19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0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3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84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466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96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04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8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85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66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816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73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3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65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orcid.org/0000-0001-9315-1227" TargetMode="External"/><Relationship Id="rId13" Type="http://schemas.openxmlformats.org/officeDocument/2006/relationships/image" Target="media/image3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1.pn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daniel.lopez@anahuac.mx" TargetMode="External"/><Relationship Id="rId1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ljXbelLgG65gZF2QnhxRlAtOTng==">CgMxLjA4AHIhMVVnbmZxNjZHV2Z0N2NLeFRUSEl4WjFxMVQ0MkVYSkYx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>
  <b:Source>
    <b:Tag>Ove23</b:Tag>
    <b:SourceType>Book</b:SourceType>
    <b:Guid>{66C79C3D-8185-4F9F-8CCF-78DE135A8A0F}</b:Guid>
    <b:Author>
      <b:Author>
        <b:Corporate>Overhaul</b:Corporate>
      </b:Author>
    </b:Author>
    <b:Title>México: Reporte anual del robo de transporte de carga</b:Title>
    <b:Year>2023</b:Year>
    <b:City>CDMX</b:City>
    <b:Publisher>Overhaul</b:Publisher>
    <b:RefOrder>4</b:RefOrder>
  </b:Source>
  <b:Source>
    <b:Tag>Ove24</b:Tag>
    <b:SourceType>Book</b:SourceType>
    <b:Guid>{954F82CB-B642-4E4D-8735-0683BBFB019F}</b:Guid>
    <b:Author>
      <b:Author>
        <b:Corporate>Overhaul</b:Corporate>
      </b:Author>
    </b:Author>
    <b:Title>México: Reporte Anual 2024 de Robo de Transporte de Carga</b:Title>
    <b:Year>2024</b:Year>
    <b:City>CDMX</b:City>
    <b:Publisher>Overhaul</b:Publisher>
    <b:RefOrder>5</b:RefOrder>
  </b:Source>
  <b:Source>
    <b:Tag>Aur13</b:Tag>
    <b:SourceType>Book</b:SourceType>
    <b:Guid>{E07A5017-DB15-4BC1-AD84-F7759986E463}</b:Guid>
    <b:Author>
      <b:Author>
        <b:NameList>
          <b:Person>
            <b:Last>Aurenhammer</b:Last>
            <b:First>Franz</b:First>
          </b:Person>
          <b:Person>
            <b:Last>Klein</b:Last>
            <b:First>Rolf</b:First>
          </b:Person>
          <b:Person>
            <b:Last>Lee</b:Last>
            <b:First>Der-Tsai</b:First>
          </b:Person>
        </b:NameList>
      </b:Author>
    </b:Author>
    <b:Title>Voronoi Diagrams and Delaunay Triangulations</b:Title>
    <b:Year>2013</b:Year>
    <b:City>Singapore</b:City>
    <b:Publisher>World Scientific</b:Publisher>
    <b:RefOrder>2</b:RefOrder>
  </b:Source>
  <b:Source>
    <b:Tag>Lóp251</b:Tag>
    <b:SourceType>JournalArticle</b:SourceType>
    <b:Guid>{A0D5131F-1679-4649-A828-CC8A513CFC2F}</b:Guid>
    <b:Title>Proposals to Transfer Risks in Avocado Load</b:Title>
    <b:Year>2025</b:Year>
    <b:Author>
      <b:Author>
        <b:NameList>
          <b:Person>
            <b:Last>López-Barrientos</b:Last>
            <b:First>José</b:First>
            <b:Middle>Daniel</b:Middle>
          </b:Person>
          <b:Person>
            <b:Last>Flores-Herrera</b:Last>
            <b:First>Ana</b:First>
            <b:Middle>Pamela</b:Middle>
          </b:Person>
          <b:Person>
            <b:Last>Fernández-Arias</b:Last>
            <b:First>Ernesto</b:First>
          </b:Person>
          <b:Person>
            <b:Last>Escobedo-Trujillo</b:Last>
            <b:First>Beatris</b:First>
            <b:Middle>Adriana</b:Middle>
          </b:Person>
        </b:NameList>
      </b:Author>
    </b:Author>
    <b:JournalName>Revista Mexicana de Economía y Finanzas Nueva Época REMEF</b:JournalName>
    <b:Pages>959</b:Pages>
    <b:Volume>20</b:Volume>
    <b:Issue>2</b:Issue>
    <b:DOI>10.21919/remef.v20i2.959</b:DOI>
    <b:RefOrder>3</b:RefOrder>
  </b:Source>
  <b:Source>
    <b:Tag>Gut10</b:Tag>
    <b:SourceType>JournalArticle</b:SourceType>
    <b:Guid>{FA49DA43-8812-4E62-A93B-E1E0D7CC9E98}</b:Guid>
    <b:Author>
      <b:Author>
        <b:NameList>
          <b:Person>
            <b:Last>Gutiérrez-Contreras</b:Last>
            <b:First>M.</b:First>
          </b:Person>
          <b:Person>
            <b:Last>Lara-Chávez</b:Last>
            <b:First>M.</b:First>
            <b:Middle>B. N.</b:Middle>
          </b:Person>
          <b:Person>
            <b:Last>Guillén-Andrade</b:Last>
            <b:First>H.</b:First>
          </b:Person>
          <b:Person>
            <b:Last>Chávez-Bárcenas</b:Last>
            <b:First>A.</b:First>
            <b:Middle>T.</b:Middle>
          </b:Person>
        </b:NameList>
      </b:Author>
    </b:Author>
    <b:Title>Agroecología de la franja aguacatera en Michoacán, México</b:Title>
    <b:JournalName>Interciencia</b:JournalName>
    <b:Year>2010</b:Year>
    <b:Pages>647-653</b:Pages>
    <b:Volume>35</b:Volume>
    <b:Issue>9</b:Issue>
    <b:URL>https://www.redalyc.org/articulo.oa?id=33914212003</b:URL>
    <b:RefOrder>1</b:RefOrder>
  </b:Source>
  <b:Source>
    <b:Tag>Iba24</b:Tag>
    <b:SourceType>JournalArticle</b:SourceType>
    <b:Guid>{8B125595-5950-4487-9457-0B2DD6A4093A}</b:Guid>
    <b:Author>
      <b:Author>
        <b:NameList>
          <b:Person>
            <b:Last>Ibarra Moreno</b:Last>
            <b:First>G.</b:First>
          </b:Person>
          <b:Person>
            <b:Last>García García</b:Last>
            <b:First>S.S.</b:First>
          </b:Person>
        </b:NameList>
      </b:Author>
    </b:Author>
    <b:Title>Implementación geométrica del método de diagramas de Voronoi y la propuesta de Lopéz-Barrientos para intentar disminuir el robo en el transporte de aguacate en Michoacán, México</b:Title>
    <b:JournalName>Practicum II</b:JournalName>
    <b:Year>2024</b:Year>
    <b:URL>https://www.dropbox.com/scl/fi/sceb6enwj0g6q2gbxvyrm/Trabajo-Final-Pr-cticum.pdf?rlkey=sjx3ygpgfhr0628l6rcm69zrp&amp;dl=0</b:URL>
    <b:RefOrder>6</b:RefOrder>
  </b:Source>
  <b:Source>
    <b:Tag>Ban15</b:Tag>
    <b:SourceType>JournalArticle</b:SourceType>
    <b:Guid>{4FE9A005-9298-47DD-BD35-E3E9727473FE}</b:Guid>
    <b:Author>
      <b:Author>
        <b:NameList>
          <b:Person>
            <b:Last>Bandyapadhyay</b:Last>
            <b:First>S.</b:First>
          </b:Person>
          <b:Person>
            <b:Last>Banik</b:Last>
            <b:First>Aritra</b:First>
          </b:Person>
          <b:Person>
            <b:Last>Das</b:Last>
            <b:First>Sandip</b:First>
          </b:Person>
          <b:Person>
            <b:Last>Sarkar</b:Last>
            <b:First>Hirak</b:First>
          </b:Person>
        </b:NameList>
      </b:Author>
    </b:Author>
    <b:Title>Voronoi game on graphs</b:Title>
    <b:JournalName>Theoretical Computer Science</b:JournalName>
    <b:Year>2015</b:Year>
    <b:Pages>270-282</b:Pages>
    <b:Volume>562</b:Volume>
    <b:DOI>10.1016/j.tcs.2014.10.003</b:DOI>
    <b:RefOrder>7</b:RefOrder>
  </b:Source>
  <b:Source>
    <b:Tag>LiC09</b:Tag>
    <b:SourceType>JournalArticle</b:SourceType>
    <b:Guid>{2DFAD026-76CF-4A88-A62A-FE4AE92DCDE1}</b:Guid>
    <b:Author>
      <b:Author>
        <b:NameList>
          <b:Person>
            <b:Last>Li</b:Last>
            <b:First>Chong-Jun</b:First>
          </b:Person>
          <b:Person>
            <b:Last>Lamberti</b:Last>
            <b:First>Paola</b:First>
          </b:Person>
          <b:Person>
            <b:Last>Dagnino</b:Last>
            <b:First>Catterina</b:First>
          </b:Person>
        </b:NameList>
      </b:Author>
    </b:Author>
    <b:Title>Numerical integration over polygons using an eight-node quadrilateral spline finite element</b:Title>
    <b:JournalName>Journal of Computational and Applied Mathematics</b:JournalName>
    <b:Year>2009</b:Year>
    <b:Pages>279-292</b:Pages>
    <b:Volume>233</b:Volume>
    <b:Issue>2</b:Issue>
    <b:DOI>10.1016/j.cam.2009.07.017</b:DOI>
    <b:RefOrder>8</b:RefOrder>
  </b:Source>
  <b:Source>
    <b:Tag>Ser23</b:Tag>
    <b:SourceType>JournalArticle</b:SourceType>
    <b:Guid>{EDBFE5AA-3B13-4ED8-9706-EB0DD2F5F9AD}</b:Guid>
    <b:Author>
      <b:Author>
        <b:NameList>
          <b:Person>
            <b:Last>Seriñá Garza</b:Last>
            <b:First>Fernando</b:First>
          </b:Person>
        </b:NameList>
      </b:Author>
    </b:Author>
    <b:Title>Empacadora de aguacates en Michoacán</b:Title>
    <b:JournalName>Conexión Milenio</b:JournalName>
    <b:Year>2023</b:Year>
    <b:URL>https://youtu.be/L0jUB07g9sw?si=UlaK4E-nMseaPSwY</b:URL>
    <b:RefOrder>9</b:RefOrder>
  </b:Source>
  <b:Source>
    <b:Tag>Lóp252</b:Tag>
    <b:SourceType>JournalArticle</b:SourceType>
    <b:Guid>{9C4BB630-C3A1-4D51-9758-BD32F6F3161E}</b:Guid>
    <b:Author>
      <b:Author>
        <b:NameList>
          <b:Person>
            <b:Last>López-Barrientos</b:Last>
            <b:First>José</b:First>
            <b:Middle>Daniel</b:Middle>
          </b:Person>
          <b:Person>
            <b:Last>Escobedo-Trujillo</b:Last>
            <b:First>Beatris</b:First>
            <b:Middle>Adriana</b:Middle>
          </b:Person>
          <b:Person>
            <b:Last>Fernández-Arias</b:Last>
            <b:First>Ernesto</b:First>
          </b:Person>
        </b:NameList>
      </b:Author>
    </b:Author>
    <b:Title>A mean-field approach for ergodic nonzero-sum stochastic games in a system of interacting objects with additive costs</b:Title>
    <b:JournalName>Dynamic Games and Applications</b:JournalName>
    <b:Year>2025</b:Year>
    <b:DOI>10.1007/s13235-025-00667-x</b:DOI>
    <b:RefOrder>10</b:RefOrder>
  </b:Source>
</b:Sources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C7157F0F-3707-4E9C-9DA7-1C42A8CA82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647</TotalTime>
  <Pages>2</Pages>
  <Words>1060</Words>
  <Characters>5832</Characters>
  <Application>Microsoft Office Word</Application>
  <DocSecurity>0</DocSecurity>
  <Lines>48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Mariana Berenice González Leija</dc:creator>
  <cp:lastModifiedBy>José Daniel López Barrientos</cp:lastModifiedBy>
  <cp:revision>6</cp:revision>
  <dcterms:created xsi:type="dcterms:W3CDTF">2025-12-23T18:31:00Z</dcterms:created>
  <dcterms:modified xsi:type="dcterms:W3CDTF">2025-12-24T13:28:00Z</dcterms:modified>
</cp:coreProperties>
</file>