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441782" w14:textId="17DD028C" w:rsidR="00E50487" w:rsidRDefault="002A0D36" w:rsidP="007862AE">
      <w:pPr>
        <w:pBdr>
          <w:top w:val="nil"/>
          <w:left w:val="nil"/>
          <w:bottom w:val="nil"/>
          <w:right w:val="nil"/>
          <w:between w:val="nil"/>
        </w:pBdr>
        <w:spacing w:before="120" w:after="120"/>
        <w:jc w:val="center"/>
        <w:rPr>
          <w:rFonts w:ascii="Roboto" w:eastAsia="Roboto" w:hAnsi="Roboto" w:cs="Roboto"/>
          <w:b/>
          <w:color w:val="000000"/>
        </w:rPr>
      </w:pPr>
      <w:r w:rsidRPr="002A0D36">
        <w:rPr>
          <w:rFonts w:ascii="Roboto" w:eastAsia="Roboto" w:hAnsi="Roboto" w:cs="Roboto"/>
          <w:b/>
          <w:color w:val="000000"/>
        </w:rPr>
        <w:t>Perspectivas bioéticas del trasplante de cara y sus principales dilemas éticos jurídicos y sociales</w:t>
      </w:r>
    </w:p>
    <w:p w14:paraId="58469910" w14:textId="33D40715" w:rsidR="00E50487" w:rsidRDefault="002A0D36">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Palomares Cantero, J.M.</w:t>
      </w:r>
    </w:p>
    <w:p w14:paraId="276AD58D" w14:textId="635D3B37" w:rsidR="00E50487" w:rsidRDefault="00363A3B">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2A0D36">
        <w:rPr>
          <w:rFonts w:ascii="Roboto" w:eastAsia="Roboto" w:hAnsi="Roboto" w:cs="Roboto"/>
          <w:color w:val="000000"/>
          <w:sz w:val="18"/>
          <w:szCs w:val="18"/>
        </w:rPr>
        <w:t xml:space="preserve">Universidad Anáhuac México, </w:t>
      </w:r>
      <w:r w:rsidR="002A0D36" w:rsidRPr="002A0D36">
        <w:rPr>
          <w:rFonts w:ascii="Roboto" w:eastAsia="Roboto" w:hAnsi="Roboto" w:cs="Roboto"/>
          <w:color w:val="000000"/>
          <w:sz w:val="18"/>
          <w:szCs w:val="18"/>
        </w:rPr>
        <w:t>https://orcid.org/0009-0009-9304-8487</w:t>
      </w:r>
    </w:p>
    <w:p w14:paraId="3E9AC5AF" w14:textId="7E2E78A5" w:rsidR="00E50487" w:rsidRDefault="00363A3B">
      <w:pPr>
        <w:jc w:val="center"/>
        <w:rPr>
          <w:rFonts w:ascii="Roboto" w:eastAsia="Roboto" w:hAnsi="Roboto" w:cs="Roboto"/>
          <w:sz w:val="18"/>
          <w:szCs w:val="18"/>
        </w:rPr>
      </w:pPr>
      <w:r>
        <w:rPr>
          <w:rFonts w:ascii="Roboto" w:eastAsia="Roboto" w:hAnsi="Roboto" w:cs="Roboto"/>
          <w:sz w:val="18"/>
          <w:szCs w:val="18"/>
        </w:rPr>
        <w:t xml:space="preserve">*Autor de correspondencia </w:t>
      </w:r>
      <w:hyperlink r:id="rId8" w:history="1">
        <w:r w:rsidR="002A0D36" w:rsidRPr="0058717B">
          <w:rPr>
            <w:rStyle w:val="Hipervnculo"/>
            <w:rFonts w:ascii="Roboto" w:eastAsia="Roboto" w:hAnsi="Roboto" w:cs="Roboto"/>
            <w:sz w:val="18"/>
            <w:szCs w:val="18"/>
          </w:rPr>
          <w:t>juan.palomares@anahuac.mx</w:t>
        </w:r>
      </w:hyperlink>
      <w:r w:rsidR="002A0D36">
        <w:rPr>
          <w:rFonts w:ascii="Roboto" w:eastAsia="Roboto" w:hAnsi="Roboto" w:cs="Roboto"/>
          <w:sz w:val="18"/>
          <w:szCs w:val="18"/>
        </w:rPr>
        <w:t xml:space="preserve"> </w:t>
      </w:r>
    </w:p>
    <w:p w14:paraId="529E9D4B" w14:textId="77777777" w:rsidR="00E50487" w:rsidRDefault="00000000">
      <w:pPr>
        <w:spacing w:before="60"/>
        <w:jc w:val="center"/>
        <w:rPr>
          <w:rFonts w:ascii="Roboto" w:eastAsia="Roboto" w:hAnsi="Roboto" w:cs="Roboto"/>
          <w:sz w:val="18"/>
          <w:szCs w:val="18"/>
        </w:rPr>
        <w:sectPr w:rsidR="00E50487">
          <w:headerReference w:type="default" r:id="rId9"/>
          <w:pgSz w:w="11906" w:h="16838"/>
          <w:pgMar w:top="851" w:right="851" w:bottom="828" w:left="851" w:header="357" w:footer="720" w:gutter="0"/>
          <w:pgNumType w:start="1"/>
          <w:cols w:space="720"/>
        </w:sectPr>
      </w:pPr>
      <w:r>
        <w:pict w14:anchorId="5E13E626">
          <v:rect id="_x0000_i1025" style="width:0;height:1.5pt" o:hralign="center" o:hrstd="t" o:hr="t" fillcolor="#a0a0a0" stroked="f"/>
        </w:pict>
      </w:r>
    </w:p>
    <w:p w14:paraId="3D96D425" w14:textId="77777777" w:rsidR="002A0D36" w:rsidRPr="002A0D36" w:rsidRDefault="002A0D36" w:rsidP="002A0D36">
      <w:pPr>
        <w:pBdr>
          <w:top w:val="nil"/>
          <w:left w:val="nil"/>
          <w:bottom w:val="nil"/>
          <w:right w:val="nil"/>
          <w:between w:val="nil"/>
        </w:pBdr>
        <w:jc w:val="both"/>
        <w:rPr>
          <w:rFonts w:ascii="Roboto" w:eastAsia="Roboto" w:hAnsi="Roboto" w:cs="Roboto"/>
          <w:b/>
          <w:color w:val="000000"/>
          <w:sz w:val="20"/>
          <w:szCs w:val="20"/>
        </w:rPr>
      </w:pPr>
      <w:r w:rsidRPr="002A0D36">
        <w:rPr>
          <w:rFonts w:ascii="Roboto" w:eastAsia="Roboto" w:hAnsi="Roboto" w:cs="Roboto"/>
          <w:b/>
          <w:color w:val="000000"/>
          <w:sz w:val="20"/>
          <w:szCs w:val="20"/>
        </w:rPr>
        <w:t>Introducción y planteamiento del problema</w:t>
      </w:r>
    </w:p>
    <w:p w14:paraId="6EDBC421" w14:textId="77777777" w:rsidR="009318DF" w:rsidRPr="009318DF" w:rsidRDefault="009318DF" w:rsidP="009318DF">
      <w:pPr>
        <w:pBdr>
          <w:top w:val="nil"/>
          <w:left w:val="nil"/>
          <w:bottom w:val="nil"/>
          <w:right w:val="nil"/>
          <w:between w:val="nil"/>
        </w:pBdr>
        <w:jc w:val="both"/>
        <w:rPr>
          <w:rFonts w:ascii="Roboto" w:eastAsia="Roboto" w:hAnsi="Roboto" w:cs="Roboto"/>
          <w:bCs/>
          <w:color w:val="000000"/>
          <w:sz w:val="20"/>
          <w:szCs w:val="20"/>
        </w:rPr>
      </w:pPr>
      <w:r w:rsidRPr="009318DF">
        <w:rPr>
          <w:rFonts w:ascii="Roboto" w:eastAsia="Roboto" w:hAnsi="Roboto" w:cs="Roboto"/>
          <w:bCs/>
          <w:color w:val="000000"/>
          <w:sz w:val="20"/>
          <w:szCs w:val="20"/>
        </w:rPr>
        <w:t xml:space="preserve">El </w:t>
      </w:r>
      <w:proofErr w:type="spellStart"/>
      <w:r w:rsidRPr="009318DF">
        <w:rPr>
          <w:rFonts w:ascii="Roboto" w:eastAsia="Roboto" w:hAnsi="Roboto" w:cs="Roboto"/>
          <w:bCs/>
          <w:color w:val="000000"/>
          <w:sz w:val="20"/>
          <w:szCs w:val="20"/>
        </w:rPr>
        <w:t>alotrasplante</w:t>
      </w:r>
      <w:proofErr w:type="spellEnd"/>
      <w:r w:rsidRPr="009318DF">
        <w:rPr>
          <w:rFonts w:ascii="Roboto" w:eastAsia="Roboto" w:hAnsi="Roboto" w:cs="Roboto"/>
          <w:bCs/>
          <w:color w:val="000000"/>
          <w:sz w:val="20"/>
          <w:szCs w:val="20"/>
        </w:rPr>
        <w:t xml:space="preserve"> compuesto vascularizado aplicado al trasplante de cara constituye una de las intervenciones quirúrgicas más complejas y controvertidas de la medicina contemporánea (Johnson et al., 2018; </w:t>
      </w:r>
      <w:proofErr w:type="spellStart"/>
      <w:r w:rsidRPr="009318DF">
        <w:rPr>
          <w:rFonts w:ascii="Roboto" w:eastAsia="Roboto" w:hAnsi="Roboto" w:cs="Roboto"/>
          <w:bCs/>
          <w:color w:val="000000"/>
          <w:sz w:val="20"/>
          <w:szCs w:val="20"/>
        </w:rPr>
        <w:t>Pascalev</w:t>
      </w:r>
      <w:proofErr w:type="spellEnd"/>
      <w:r w:rsidRPr="009318DF">
        <w:rPr>
          <w:rFonts w:ascii="Roboto" w:eastAsia="Roboto" w:hAnsi="Roboto" w:cs="Roboto"/>
          <w:bCs/>
          <w:color w:val="000000"/>
          <w:sz w:val="20"/>
          <w:szCs w:val="20"/>
        </w:rPr>
        <w:t xml:space="preserve"> &amp; </w:t>
      </w:r>
      <w:proofErr w:type="spellStart"/>
      <w:r w:rsidRPr="009318DF">
        <w:rPr>
          <w:rFonts w:ascii="Roboto" w:eastAsia="Roboto" w:hAnsi="Roboto" w:cs="Roboto"/>
          <w:bCs/>
          <w:color w:val="000000"/>
          <w:sz w:val="20"/>
          <w:szCs w:val="20"/>
        </w:rPr>
        <w:t>Georgieva</w:t>
      </w:r>
      <w:proofErr w:type="spellEnd"/>
      <w:r w:rsidRPr="009318DF">
        <w:rPr>
          <w:rFonts w:ascii="Roboto" w:eastAsia="Roboto" w:hAnsi="Roboto" w:cs="Roboto"/>
          <w:bCs/>
          <w:color w:val="000000"/>
          <w:sz w:val="20"/>
          <w:szCs w:val="20"/>
        </w:rPr>
        <w:t xml:space="preserve">, 2020). Si bien su desarrollo ha permitido ofrecer una alternativa terapéutica a personas con lesiones faciales severas derivadas de traumatismos, quemaduras o enfermedades congénitas, su aplicación plantea interrogantes éticas que trascienden el ámbito técnico y clínico, particularmente por su impacto en la identidad personal del receptor y por el alto grado de especialización que requiere (Andrews, 2019; </w:t>
      </w:r>
      <w:proofErr w:type="spellStart"/>
      <w:r w:rsidRPr="009318DF">
        <w:rPr>
          <w:rFonts w:ascii="Roboto" w:eastAsia="Roboto" w:hAnsi="Roboto" w:cs="Roboto"/>
          <w:bCs/>
          <w:color w:val="000000"/>
          <w:sz w:val="20"/>
          <w:szCs w:val="20"/>
        </w:rPr>
        <w:t>Novitzky</w:t>
      </w:r>
      <w:proofErr w:type="spellEnd"/>
      <w:r w:rsidRPr="009318DF">
        <w:rPr>
          <w:rFonts w:ascii="Roboto" w:eastAsia="Roboto" w:hAnsi="Roboto" w:cs="Roboto"/>
          <w:bCs/>
          <w:color w:val="000000"/>
          <w:sz w:val="20"/>
          <w:szCs w:val="20"/>
        </w:rPr>
        <w:t xml:space="preserve"> et al., 2018).</w:t>
      </w:r>
    </w:p>
    <w:p w14:paraId="2013BF91" w14:textId="77777777" w:rsidR="009318DF" w:rsidRPr="009318DF" w:rsidRDefault="009318DF" w:rsidP="009318DF">
      <w:pPr>
        <w:pBdr>
          <w:top w:val="nil"/>
          <w:left w:val="nil"/>
          <w:bottom w:val="nil"/>
          <w:right w:val="nil"/>
          <w:between w:val="nil"/>
        </w:pBdr>
        <w:jc w:val="both"/>
        <w:rPr>
          <w:rFonts w:ascii="Roboto" w:eastAsia="Roboto" w:hAnsi="Roboto" w:cs="Roboto"/>
          <w:bCs/>
          <w:color w:val="000000"/>
          <w:sz w:val="20"/>
          <w:szCs w:val="20"/>
        </w:rPr>
      </w:pPr>
      <w:r w:rsidRPr="009318DF">
        <w:rPr>
          <w:rFonts w:ascii="Roboto" w:eastAsia="Roboto" w:hAnsi="Roboto" w:cs="Roboto"/>
          <w:bCs/>
          <w:color w:val="000000"/>
          <w:sz w:val="20"/>
          <w:szCs w:val="20"/>
        </w:rPr>
        <w:t>En los últimos años, el trasplante de cara ha pasado de ser una experiencia excepcional a consolidarse como una opción terapéutica viable en casos cuidadosamente seleccionados, lo que ha intensificado el debate en torno a cuestiones como el consentimiento informado, la justicia distributiva, la equidad en el acceso y el bienestar psicosocial del paciente (</w:t>
      </w:r>
      <w:proofErr w:type="spellStart"/>
      <w:r w:rsidRPr="009318DF">
        <w:rPr>
          <w:rFonts w:ascii="Roboto" w:eastAsia="Roboto" w:hAnsi="Roboto" w:cs="Roboto"/>
          <w:bCs/>
          <w:color w:val="000000"/>
          <w:sz w:val="20"/>
          <w:szCs w:val="20"/>
        </w:rPr>
        <w:t>Navigante</w:t>
      </w:r>
      <w:proofErr w:type="spellEnd"/>
      <w:r w:rsidRPr="009318DF">
        <w:rPr>
          <w:rFonts w:ascii="Roboto" w:eastAsia="Roboto" w:hAnsi="Roboto" w:cs="Roboto"/>
          <w:bCs/>
          <w:color w:val="000000"/>
          <w:sz w:val="20"/>
          <w:szCs w:val="20"/>
        </w:rPr>
        <w:t xml:space="preserve"> et al., 2021; </w:t>
      </w:r>
      <w:proofErr w:type="spellStart"/>
      <w:r w:rsidRPr="009318DF">
        <w:rPr>
          <w:rFonts w:ascii="Roboto" w:eastAsia="Roboto" w:hAnsi="Roboto" w:cs="Roboto"/>
          <w:bCs/>
          <w:color w:val="000000"/>
          <w:sz w:val="20"/>
          <w:szCs w:val="20"/>
        </w:rPr>
        <w:t>Furr</w:t>
      </w:r>
      <w:proofErr w:type="spellEnd"/>
      <w:r w:rsidRPr="009318DF">
        <w:rPr>
          <w:rFonts w:ascii="Roboto" w:eastAsia="Roboto" w:hAnsi="Roboto" w:cs="Roboto"/>
          <w:bCs/>
          <w:color w:val="000000"/>
          <w:sz w:val="20"/>
          <w:szCs w:val="20"/>
        </w:rPr>
        <w:t xml:space="preserve"> &amp; </w:t>
      </w:r>
      <w:proofErr w:type="spellStart"/>
      <w:r w:rsidRPr="009318DF">
        <w:rPr>
          <w:rFonts w:ascii="Roboto" w:eastAsia="Roboto" w:hAnsi="Roboto" w:cs="Roboto"/>
          <w:bCs/>
          <w:color w:val="000000"/>
          <w:sz w:val="20"/>
          <w:szCs w:val="20"/>
        </w:rPr>
        <w:t>Siemionow</w:t>
      </w:r>
      <w:proofErr w:type="spellEnd"/>
      <w:r w:rsidRPr="009318DF">
        <w:rPr>
          <w:rFonts w:ascii="Roboto" w:eastAsia="Roboto" w:hAnsi="Roboto" w:cs="Roboto"/>
          <w:bCs/>
          <w:color w:val="000000"/>
          <w:sz w:val="20"/>
          <w:szCs w:val="20"/>
        </w:rPr>
        <w:t>, 2021). Estos dilemas adquieren especial relevancia en países como México, donde las limitaciones estructurales del sistema de salud exigen criterios éticos claros para la asignación de recursos altamente especializados (Palomares-Cantero, 2023).</w:t>
      </w:r>
    </w:p>
    <w:p w14:paraId="20520B6C" w14:textId="068CF1AC" w:rsidR="009318DF" w:rsidRDefault="009318DF" w:rsidP="009318DF">
      <w:pPr>
        <w:pBdr>
          <w:top w:val="nil"/>
          <w:left w:val="nil"/>
          <w:bottom w:val="nil"/>
          <w:right w:val="nil"/>
          <w:between w:val="nil"/>
        </w:pBdr>
        <w:jc w:val="both"/>
        <w:rPr>
          <w:rFonts w:ascii="Roboto" w:eastAsia="Roboto" w:hAnsi="Roboto" w:cs="Roboto"/>
          <w:bCs/>
          <w:color w:val="000000"/>
          <w:sz w:val="20"/>
          <w:szCs w:val="20"/>
        </w:rPr>
      </w:pPr>
      <w:r w:rsidRPr="009318DF">
        <w:rPr>
          <w:rFonts w:ascii="Roboto" w:eastAsia="Roboto" w:hAnsi="Roboto" w:cs="Roboto"/>
          <w:bCs/>
          <w:color w:val="000000"/>
          <w:sz w:val="20"/>
          <w:szCs w:val="20"/>
        </w:rPr>
        <w:t xml:space="preserve">Desde esta perspectiva, el trasplante de cara pone de manifiesto la tensión entre innovación biomédica y responsabilidad ética, al tratarse de una intervención orientada no a preservar la vida, sino a mejorar de manera significativa la funcionalidad, la integración social y la calidad de vida del paciente, lo que obliga a evaluar con especial cuidado la proporcionalidad entre riesgos, beneficios e impacto social de la intervención (Andrews, 2019; </w:t>
      </w:r>
      <w:proofErr w:type="spellStart"/>
      <w:r w:rsidRPr="009318DF">
        <w:rPr>
          <w:rFonts w:ascii="Roboto" w:eastAsia="Roboto" w:hAnsi="Roboto" w:cs="Roboto"/>
          <w:bCs/>
          <w:color w:val="000000"/>
          <w:sz w:val="20"/>
          <w:szCs w:val="20"/>
        </w:rPr>
        <w:t>Pascalev</w:t>
      </w:r>
      <w:proofErr w:type="spellEnd"/>
      <w:r w:rsidRPr="009318DF">
        <w:rPr>
          <w:rFonts w:ascii="Roboto" w:eastAsia="Roboto" w:hAnsi="Roboto" w:cs="Roboto"/>
          <w:bCs/>
          <w:color w:val="000000"/>
          <w:sz w:val="20"/>
          <w:szCs w:val="20"/>
        </w:rPr>
        <w:t xml:space="preserve"> &amp; </w:t>
      </w:r>
      <w:proofErr w:type="spellStart"/>
      <w:r w:rsidRPr="009318DF">
        <w:rPr>
          <w:rFonts w:ascii="Roboto" w:eastAsia="Roboto" w:hAnsi="Roboto" w:cs="Roboto"/>
          <w:bCs/>
          <w:color w:val="000000"/>
          <w:sz w:val="20"/>
          <w:szCs w:val="20"/>
        </w:rPr>
        <w:t>Georgieva</w:t>
      </w:r>
      <w:proofErr w:type="spellEnd"/>
      <w:r w:rsidRPr="009318DF">
        <w:rPr>
          <w:rFonts w:ascii="Roboto" w:eastAsia="Roboto" w:hAnsi="Roboto" w:cs="Roboto"/>
          <w:bCs/>
          <w:color w:val="000000"/>
          <w:sz w:val="20"/>
          <w:szCs w:val="20"/>
        </w:rPr>
        <w:t>, 2020).</w:t>
      </w:r>
    </w:p>
    <w:p w14:paraId="2653D3FB" w14:textId="77777777" w:rsidR="009318DF" w:rsidRDefault="009318DF" w:rsidP="009318DF">
      <w:pPr>
        <w:pBdr>
          <w:top w:val="nil"/>
          <w:left w:val="nil"/>
          <w:bottom w:val="nil"/>
          <w:right w:val="nil"/>
          <w:between w:val="nil"/>
        </w:pBdr>
        <w:jc w:val="both"/>
        <w:rPr>
          <w:rFonts w:ascii="Roboto" w:eastAsia="Roboto" w:hAnsi="Roboto" w:cs="Roboto"/>
          <w:bCs/>
          <w:color w:val="000000"/>
          <w:sz w:val="20"/>
          <w:szCs w:val="20"/>
        </w:rPr>
      </w:pPr>
    </w:p>
    <w:p w14:paraId="4E6EA4C5" w14:textId="77777777" w:rsidR="009318DF" w:rsidRDefault="002A0D36" w:rsidP="009318DF">
      <w:pPr>
        <w:pBdr>
          <w:top w:val="nil"/>
          <w:left w:val="nil"/>
          <w:bottom w:val="nil"/>
          <w:right w:val="nil"/>
          <w:between w:val="nil"/>
        </w:pBdr>
        <w:jc w:val="both"/>
        <w:rPr>
          <w:rFonts w:ascii="Roboto" w:eastAsia="Roboto" w:hAnsi="Roboto" w:cs="Roboto"/>
          <w:b/>
          <w:bCs/>
          <w:color w:val="000000"/>
          <w:sz w:val="20"/>
          <w:szCs w:val="20"/>
        </w:rPr>
      </w:pPr>
      <w:r w:rsidRPr="002A0D36">
        <w:rPr>
          <w:rFonts w:ascii="Roboto" w:eastAsia="Roboto" w:hAnsi="Roboto" w:cs="Roboto"/>
          <w:b/>
          <w:bCs/>
          <w:color w:val="000000"/>
          <w:sz w:val="20"/>
          <w:szCs w:val="20"/>
        </w:rPr>
        <w:t>Objetivo y enfoque metodológico</w:t>
      </w:r>
    </w:p>
    <w:p w14:paraId="5438E1DE" w14:textId="77777777" w:rsidR="009318DF" w:rsidRDefault="009318DF" w:rsidP="009318DF">
      <w:pPr>
        <w:pBdr>
          <w:top w:val="nil"/>
          <w:left w:val="nil"/>
          <w:bottom w:val="nil"/>
          <w:right w:val="nil"/>
          <w:between w:val="nil"/>
        </w:pBdr>
        <w:jc w:val="both"/>
        <w:rPr>
          <w:rFonts w:ascii="Roboto" w:eastAsia="Roboto" w:hAnsi="Roboto" w:cs="Roboto"/>
          <w:color w:val="000000"/>
          <w:sz w:val="20"/>
          <w:szCs w:val="20"/>
        </w:rPr>
      </w:pPr>
      <w:r w:rsidRPr="009318DF">
        <w:rPr>
          <w:rFonts w:ascii="Roboto" w:eastAsia="Roboto" w:hAnsi="Roboto" w:cs="Roboto"/>
          <w:color w:val="000000"/>
          <w:sz w:val="20"/>
          <w:szCs w:val="20"/>
        </w:rPr>
        <w:t>El objetivo de este trabajo es analizar los principales dilemas éticos, jurídicos y sociales asociados al trasplante de cara desde una perspectiva bioética, con especial atención a su aplicación en el contexto mexicano. Para ello, se realizó una revisión sistemática de la literatura científica publicada en los últimos cinco años en bases de datos especializadas, seleccionando artículos que abordaran el trasplante facial desde enfoques bioéticos, clínicos y psicosociales (</w:t>
      </w:r>
      <w:proofErr w:type="spellStart"/>
      <w:r w:rsidRPr="009318DF">
        <w:rPr>
          <w:rFonts w:ascii="Roboto" w:eastAsia="Roboto" w:hAnsi="Roboto" w:cs="Roboto"/>
          <w:color w:val="000000"/>
          <w:sz w:val="20"/>
          <w:szCs w:val="20"/>
        </w:rPr>
        <w:t>Pascalev</w:t>
      </w:r>
      <w:proofErr w:type="spellEnd"/>
      <w:r w:rsidRPr="009318DF">
        <w:rPr>
          <w:rFonts w:ascii="Roboto" w:eastAsia="Roboto" w:hAnsi="Roboto" w:cs="Roboto"/>
          <w:color w:val="000000"/>
          <w:sz w:val="20"/>
          <w:szCs w:val="20"/>
        </w:rPr>
        <w:t xml:space="preserve"> &amp; </w:t>
      </w:r>
      <w:proofErr w:type="spellStart"/>
      <w:r w:rsidRPr="009318DF">
        <w:rPr>
          <w:rFonts w:ascii="Roboto" w:eastAsia="Roboto" w:hAnsi="Roboto" w:cs="Roboto"/>
          <w:color w:val="000000"/>
          <w:sz w:val="20"/>
          <w:szCs w:val="20"/>
        </w:rPr>
        <w:t>Georgieva</w:t>
      </w:r>
      <w:proofErr w:type="spellEnd"/>
      <w:r w:rsidRPr="009318DF">
        <w:rPr>
          <w:rFonts w:ascii="Roboto" w:eastAsia="Roboto" w:hAnsi="Roboto" w:cs="Roboto"/>
          <w:color w:val="000000"/>
          <w:sz w:val="20"/>
          <w:szCs w:val="20"/>
        </w:rPr>
        <w:t xml:space="preserve">, 2020; </w:t>
      </w:r>
      <w:proofErr w:type="spellStart"/>
      <w:r w:rsidRPr="009318DF">
        <w:rPr>
          <w:rFonts w:ascii="Roboto" w:eastAsia="Roboto" w:hAnsi="Roboto" w:cs="Roboto"/>
          <w:color w:val="000000"/>
          <w:sz w:val="20"/>
          <w:szCs w:val="20"/>
        </w:rPr>
        <w:t>Navigante</w:t>
      </w:r>
      <w:proofErr w:type="spellEnd"/>
      <w:r w:rsidRPr="009318DF">
        <w:rPr>
          <w:rFonts w:ascii="Roboto" w:eastAsia="Roboto" w:hAnsi="Roboto" w:cs="Roboto"/>
          <w:color w:val="000000"/>
          <w:sz w:val="20"/>
          <w:szCs w:val="20"/>
        </w:rPr>
        <w:t xml:space="preserve"> et al., 2021).</w:t>
      </w:r>
    </w:p>
    <w:p w14:paraId="01BB1317" w14:textId="636FB5F7" w:rsidR="009318DF" w:rsidRDefault="009318DF" w:rsidP="009318DF">
      <w:pPr>
        <w:pBdr>
          <w:top w:val="nil"/>
          <w:left w:val="nil"/>
          <w:bottom w:val="nil"/>
          <w:right w:val="nil"/>
          <w:between w:val="nil"/>
        </w:pBdr>
        <w:jc w:val="both"/>
        <w:rPr>
          <w:rFonts w:ascii="Roboto" w:eastAsia="Roboto" w:hAnsi="Roboto" w:cs="Roboto"/>
          <w:color w:val="000000"/>
          <w:sz w:val="20"/>
          <w:szCs w:val="20"/>
        </w:rPr>
      </w:pPr>
      <w:r w:rsidRPr="009318DF">
        <w:rPr>
          <w:rFonts w:ascii="Roboto" w:eastAsia="Roboto" w:hAnsi="Roboto" w:cs="Roboto"/>
          <w:color w:val="000000"/>
          <w:sz w:val="20"/>
          <w:szCs w:val="20"/>
        </w:rPr>
        <w:t xml:space="preserve">Se analizaron un total de veintiún estudios relevantes, a partir de los cuales se identificaron categorías éticas centrales que permiten estructurar el debate contemporáneo sobre esta técnica. El análisis se orienta desde un marco de bioética personalista, integrando consideraciones clínicas, jurídicas y sociales que </w:t>
      </w:r>
      <w:r w:rsidRPr="009318DF">
        <w:rPr>
          <w:rFonts w:ascii="Roboto" w:eastAsia="Roboto" w:hAnsi="Roboto" w:cs="Roboto"/>
          <w:color w:val="000000"/>
          <w:sz w:val="20"/>
          <w:szCs w:val="20"/>
        </w:rPr>
        <w:t>permiten una comprensión integral del fenómeno (Andrews, 2019; Palomares-Cantero, 2023).</w:t>
      </w:r>
    </w:p>
    <w:p w14:paraId="7DA47FB4" w14:textId="77777777" w:rsidR="009318DF" w:rsidRDefault="009318DF" w:rsidP="009318DF">
      <w:pPr>
        <w:pBdr>
          <w:top w:val="nil"/>
          <w:left w:val="nil"/>
          <w:bottom w:val="nil"/>
          <w:right w:val="nil"/>
          <w:between w:val="nil"/>
        </w:pBdr>
        <w:jc w:val="both"/>
        <w:rPr>
          <w:rFonts w:ascii="Roboto" w:eastAsia="Roboto" w:hAnsi="Roboto" w:cs="Roboto"/>
          <w:color w:val="000000"/>
          <w:sz w:val="20"/>
          <w:szCs w:val="20"/>
        </w:rPr>
      </w:pPr>
    </w:p>
    <w:p w14:paraId="63A9580C" w14:textId="77777777" w:rsidR="007862AE" w:rsidRDefault="009318DF" w:rsidP="007862AE">
      <w:pPr>
        <w:pBdr>
          <w:top w:val="nil"/>
          <w:left w:val="nil"/>
          <w:bottom w:val="nil"/>
          <w:right w:val="nil"/>
          <w:between w:val="nil"/>
        </w:pBdr>
        <w:jc w:val="both"/>
        <w:rPr>
          <w:rFonts w:ascii="Roboto" w:eastAsia="Roboto" w:hAnsi="Roboto" w:cs="Roboto"/>
          <w:b/>
          <w:bCs/>
          <w:color w:val="000000"/>
          <w:sz w:val="20"/>
          <w:szCs w:val="20"/>
        </w:rPr>
      </w:pPr>
      <w:r w:rsidRPr="009318DF">
        <w:rPr>
          <w:rFonts w:ascii="Roboto" w:eastAsia="Roboto" w:hAnsi="Roboto" w:cs="Roboto"/>
          <w:b/>
          <w:bCs/>
          <w:color w:val="000000"/>
          <w:sz w:val="20"/>
          <w:szCs w:val="20"/>
        </w:rPr>
        <w:t>Principales dilemas bioéticos del trasplante de cara</w:t>
      </w:r>
    </w:p>
    <w:p w14:paraId="7F1CC495" w14:textId="77777777" w:rsidR="007862AE" w:rsidRDefault="007862AE" w:rsidP="007862AE">
      <w:pPr>
        <w:pBdr>
          <w:top w:val="nil"/>
          <w:left w:val="nil"/>
          <w:bottom w:val="nil"/>
          <w:right w:val="nil"/>
          <w:between w:val="nil"/>
        </w:pBdr>
        <w:jc w:val="both"/>
        <w:rPr>
          <w:rFonts w:ascii="Roboto" w:eastAsia="Roboto" w:hAnsi="Roboto" w:cs="Roboto"/>
          <w:color w:val="000000"/>
          <w:sz w:val="20"/>
          <w:szCs w:val="20"/>
        </w:rPr>
      </w:pPr>
      <w:r w:rsidRPr="007862AE">
        <w:rPr>
          <w:rFonts w:ascii="Roboto" w:eastAsia="Roboto" w:hAnsi="Roboto" w:cs="Roboto"/>
          <w:color w:val="000000"/>
          <w:sz w:val="20"/>
          <w:szCs w:val="20"/>
        </w:rPr>
        <w:t>Los resultados del análisis muestran que el consentimiento informado constituye uno de los ejes éticos centrales del trasplante facial, dada la magnitud de los riesgos quirúrgicos, las implicaciones a largo plazo del tratamiento inmunosupresor y el impacto psicológico asociado a la reconstrucción de la identidad facial, lo que exige procesos de información claros, comprensibles y sostenidos en el tiempo (</w:t>
      </w:r>
      <w:proofErr w:type="spellStart"/>
      <w:r w:rsidRPr="007862AE">
        <w:rPr>
          <w:rFonts w:ascii="Roboto" w:eastAsia="Roboto" w:hAnsi="Roboto" w:cs="Roboto"/>
          <w:color w:val="000000"/>
          <w:sz w:val="20"/>
          <w:szCs w:val="20"/>
        </w:rPr>
        <w:t>Navigante</w:t>
      </w:r>
      <w:proofErr w:type="spellEnd"/>
      <w:r w:rsidRPr="007862AE">
        <w:rPr>
          <w:rFonts w:ascii="Roboto" w:eastAsia="Roboto" w:hAnsi="Roboto" w:cs="Roboto"/>
          <w:color w:val="000000"/>
          <w:sz w:val="20"/>
          <w:szCs w:val="20"/>
        </w:rPr>
        <w:t xml:space="preserve"> et al., 2021; Andrews, 2019). La capacidad del paciente para comprender plenamente las consecuencias del procedimiento y decidir de manera libre y responsable representa un desafío ético permanente (</w:t>
      </w:r>
      <w:proofErr w:type="spellStart"/>
      <w:r w:rsidRPr="007862AE">
        <w:rPr>
          <w:rFonts w:ascii="Roboto" w:eastAsia="Roboto" w:hAnsi="Roboto" w:cs="Roboto"/>
          <w:color w:val="000000"/>
          <w:sz w:val="20"/>
          <w:szCs w:val="20"/>
        </w:rPr>
        <w:t>Novitzky</w:t>
      </w:r>
      <w:proofErr w:type="spellEnd"/>
      <w:r w:rsidRPr="007862AE">
        <w:rPr>
          <w:rFonts w:ascii="Roboto" w:eastAsia="Roboto" w:hAnsi="Roboto" w:cs="Roboto"/>
          <w:color w:val="000000"/>
          <w:sz w:val="20"/>
          <w:szCs w:val="20"/>
        </w:rPr>
        <w:t xml:space="preserve"> et al., 2018).</w:t>
      </w:r>
    </w:p>
    <w:p w14:paraId="3C06798B" w14:textId="77777777" w:rsidR="007862AE" w:rsidRDefault="007862AE" w:rsidP="007862AE">
      <w:pPr>
        <w:pBdr>
          <w:top w:val="nil"/>
          <w:left w:val="nil"/>
          <w:bottom w:val="nil"/>
          <w:right w:val="nil"/>
          <w:between w:val="nil"/>
        </w:pBdr>
        <w:jc w:val="both"/>
        <w:rPr>
          <w:rFonts w:ascii="Roboto" w:eastAsia="Roboto" w:hAnsi="Roboto" w:cs="Roboto"/>
          <w:color w:val="000000"/>
          <w:sz w:val="20"/>
          <w:szCs w:val="20"/>
        </w:rPr>
      </w:pPr>
      <w:r w:rsidRPr="007862AE">
        <w:rPr>
          <w:rFonts w:ascii="Roboto" w:eastAsia="Roboto" w:hAnsi="Roboto" w:cs="Roboto"/>
          <w:color w:val="000000"/>
          <w:sz w:val="20"/>
          <w:szCs w:val="20"/>
        </w:rPr>
        <w:t>Otro dilema relevante se vincula con la justicia distributiva y la asignación de recursos sanitarios, ya que el trasplante de cara implica costos elevados y una infraestructura altamente especializada, lo que plantea interrogantes sobre la equidad en el acceso y la priorización frente a otros procedimientos médicos (Johnson et al., 2018; Páez, 2020).</w:t>
      </w:r>
    </w:p>
    <w:p w14:paraId="6F98C3D8" w14:textId="07B16899" w:rsidR="007862AE" w:rsidRDefault="007862AE" w:rsidP="007862AE">
      <w:pPr>
        <w:pBdr>
          <w:top w:val="nil"/>
          <w:left w:val="nil"/>
          <w:bottom w:val="nil"/>
          <w:right w:val="nil"/>
          <w:between w:val="nil"/>
        </w:pBdr>
        <w:jc w:val="both"/>
        <w:rPr>
          <w:rFonts w:ascii="Roboto" w:eastAsia="Roboto" w:hAnsi="Roboto" w:cs="Roboto"/>
          <w:b/>
          <w:color w:val="000000"/>
          <w:sz w:val="20"/>
          <w:szCs w:val="20"/>
        </w:rPr>
      </w:pPr>
      <w:r w:rsidRPr="007862AE">
        <w:rPr>
          <w:rFonts w:ascii="Roboto" w:eastAsia="Roboto" w:hAnsi="Roboto" w:cs="Roboto"/>
          <w:color w:val="000000"/>
          <w:sz w:val="20"/>
          <w:szCs w:val="20"/>
        </w:rPr>
        <w:t>El bienestar emocional y psicosocial del receptor constituye una dimensión ética ineludible, pues la adaptación a una nueva imagen facial, la exposición mediática y las expectativas sociales requieren acompañamiento interdisciplinario antes y después del trasplante (</w:t>
      </w:r>
      <w:proofErr w:type="spellStart"/>
      <w:r w:rsidRPr="007862AE">
        <w:rPr>
          <w:rFonts w:ascii="Roboto" w:eastAsia="Roboto" w:hAnsi="Roboto" w:cs="Roboto"/>
          <w:color w:val="000000"/>
          <w:sz w:val="20"/>
          <w:szCs w:val="20"/>
        </w:rPr>
        <w:t>Furr</w:t>
      </w:r>
      <w:proofErr w:type="spellEnd"/>
      <w:r w:rsidRPr="007862AE">
        <w:rPr>
          <w:rFonts w:ascii="Roboto" w:eastAsia="Roboto" w:hAnsi="Roboto" w:cs="Roboto"/>
          <w:color w:val="000000"/>
          <w:sz w:val="20"/>
          <w:szCs w:val="20"/>
        </w:rPr>
        <w:t xml:space="preserve"> &amp; </w:t>
      </w:r>
      <w:proofErr w:type="spellStart"/>
      <w:r w:rsidRPr="007862AE">
        <w:rPr>
          <w:rFonts w:ascii="Roboto" w:eastAsia="Roboto" w:hAnsi="Roboto" w:cs="Roboto"/>
          <w:color w:val="000000"/>
          <w:sz w:val="20"/>
          <w:szCs w:val="20"/>
        </w:rPr>
        <w:t>Siemionow</w:t>
      </w:r>
      <w:proofErr w:type="spellEnd"/>
      <w:r w:rsidRPr="007862AE">
        <w:rPr>
          <w:rFonts w:ascii="Roboto" w:eastAsia="Roboto" w:hAnsi="Roboto" w:cs="Roboto"/>
          <w:color w:val="000000"/>
          <w:sz w:val="20"/>
          <w:szCs w:val="20"/>
        </w:rPr>
        <w:t xml:space="preserve">, 2021; </w:t>
      </w:r>
      <w:proofErr w:type="spellStart"/>
      <w:r w:rsidRPr="007862AE">
        <w:rPr>
          <w:rFonts w:ascii="Roboto" w:eastAsia="Roboto" w:hAnsi="Roboto" w:cs="Roboto"/>
          <w:color w:val="000000"/>
          <w:sz w:val="20"/>
          <w:szCs w:val="20"/>
        </w:rPr>
        <w:t>McAdams-DeMarco</w:t>
      </w:r>
      <w:proofErr w:type="spellEnd"/>
      <w:r w:rsidRPr="007862AE">
        <w:rPr>
          <w:rFonts w:ascii="Roboto" w:eastAsia="Roboto" w:hAnsi="Roboto" w:cs="Roboto"/>
          <w:color w:val="000000"/>
          <w:sz w:val="20"/>
          <w:szCs w:val="20"/>
        </w:rPr>
        <w:t xml:space="preserve"> &amp; James, 2021). Asimismo, la selección y el tratamiento del donante plantean exigencias éticas vinculadas al respeto de la dignidad de la persona fallecida y al acompañamiento de su familia (</w:t>
      </w:r>
      <w:proofErr w:type="spellStart"/>
      <w:r w:rsidRPr="007862AE">
        <w:rPr>
          <w:rFonts w:ascii="Roboto" w:eastAsia="Roboto" w:hAnsi="Roboto" w:cs="Roboto"/>
          <w:color w:val="000000"/>
          <w:sz w:val="20"/>
          <w:szCs w:val="20"/>
        </w:rPr>
        <w:t>Furr</w:t>
      </w:r>
      <w:proofErr w:type="spellEnd"/>
      <w:r w:rsidRPr="007862AE">
        <w:rPr>
          <w:rFonts w:ascii="Roboto" w:eastAsia="Roboto" w:hAnsi="Roboto" w:cs="Roboto"/>
          <w:color w:val="000000"/>
          <w:sz w:val="20"/>
          <w:szCs w:val="20"/>
        </w:rPr>
        <w:t xml:space="preserve"> et al., 2019). A partir del análisis realizado, los principales dilemas bioéticos identificados pueden sintetizarse en la siguiente tabla.</w:t>
      </w:r>
    </w:p>
    <w:p w14:paraId="0F018473" w14:textId="5EE418D0" w:rsidR="00937695" w:rsidRPr="00937695" w:rsidRDefault="00937695" w:rsidP="007862AE">
      <w:pPr>
        <w:pStyle w:val="Ttulo3"/>
        <w:rPr>
          <w:rFonts w:ascii="Roboto" w:eastAsia="Roboto" w:hAnsi="Roboto" w:cs="Roboto"/>
          <w:sz w:val="20"/>
          <w:szCs w:val="20"/>
        </w:rPr>
      </w:pPr>
      <w:r w:rsidRPr="00937695">
        <w:rPr>
          <w:rFonts w:ascii="Roboto" w:eastAsia="Roboto" w:hAnsi="Roboto" w:cs="Roboto"/>
          <w:bCs/>
          <w:sz w:val="20"/>
          <w:szCs w:val="20"/>
        </w:rPr>
        <w:t>Tabla 1</w:t>
      </w:r>
      <w:r>
        <w:rPr>
          <w:rFonts w:ascii="Roboto" w:eastAsia="Roboto" w:hAnsi="Roboto" w:cs="Roboto"/>
          <w:bCs/>
          <w:sz w:val="20"/>
          <w:szCs w:val="20"/>
        </w:rPr>
        <w:t xml:space="preserve">. </w:t>
      </w:r>
      <w:r w:rsidRPr="00937695">
        <w:rPr>
          <w:rFonts w:ascii="Roboto" w:eastAsia="Roboto" w:hAnsi="Roboto" w:cs="Roboto"/>
          <w:sz w:val="20"/>
          <w:szCs w:val="20"/>
        </w:rPr>
        <w:t>Dilemas bioéticos centrales del trasplante de cara</w:t>
      </w:r>
    </w:p>
    <w:tbl>
      <w:tblPr>
        <w:tblStyle w:val="Tablanormal4"/>
        <w:tblW w:w="4934" w:type="dxa"/>
        <w:tblLook w:val="04A0" w:firstRow="1" w:lastRow="0" w:firstColumn="1" w:lastColumn="0" w:noHBand="0" w:noVBand="1"/>
      </w:tblPr>
      <w:tblGrid>
        <w:gridCol w:w="1721"/>
        <w:gridCol w:w="1762"/>
        <w:gridCol w:w="1451"/>
      </w:tblGrid>
      <w:tr w:rsidR="00937695" w:rsidRPr="007862AE" w14:paraId="173E9B4E" w14:textId="77777777" w:rsidTr="009376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B645CB9" w14:textId="77777777" w:rsidR="00937695" w:rsidRPr="007862AE" w:rsidRDefault="00937695">
            <w:pPr>
              <w:jc w:val="center"/>
              <w:rPr>
                <w:rFonts w:ascii="Roboto" w:hAnsi="Roboto"/>
                <w:sz w:val="18"/>
                <w:szCs w:val="18"/>
              </w:rPr>
            </w:pPr>
            <w:r w:rsidRPr="007862AE">
              <w:rPr>
                <w:rFonts w:ascii="Roboto" w:hAnsi="Roboto"/>
                <w:sz w:val="18"/>
                <w:szCs w:val="18"/>
              </w:rPr>
              <w:t>Eje ético</w:t>
            </w:r>
          </w:p>
        </w:tc>
        <w:tc>
          <w:tcPr>
            <w:tcW w:w="0" w:type="auto"/>
            <w:hideMark/>
          </w:tcPr>
          <w:p w14:paraId="144608A4" w14:textId="77777777" w:rsidR="00937695" w:rsidRPr="007862AE" w:rsidRDefault="00937695">
            <w:pPr>
              <w:jc w:val="center"/>
              <w:cnfStyle w:val="100000000000" w:firstRow="1" w:lastRow="0" w:firstColumn="0" w:lastColumn="0" w:oddVBand="0" w:evenVBand="0" w:oddHBand="0" w:evenHBand="0" w:firstRowFirstColumn="0" w:firstRowLastColumn="0" w:lastRowFirstColumn="0" w:lastRowLastColumn="0"/>
              <w:rPr>
                <w:rFonts w:ascii="Roboto" w:hAnsi="Roboto"/>
                <w:sz w:val="18"/>
                <w:szCs w:val="18"/>
              </w:rPr>
            </w:pPr>
            <w:r w:rsidRPr="007862AE">
              <w:rPr>
                <w:rFonts w:ascii="Roboto" w:hAnsi="Roboto"/>
                <w:sz w:val="18"/>
                <w:szCs w:val="18"/>
              </w:rPr>
              <w:t>Núcleo del dilema</w:t>
            </w:r>
          </w:p>
        </w:tc>
        <w:tc>
          <w:tcPr>
            <w:tcW w:w="0" w:type="auto"/>
            <w:hideMark/>
          </w:tcPr>
          <w:p w14:paraId="5DC6307A" w14:textId="77777777" w:rsidR="00937695" w:rsidRPr="007862AE" w:rsidRDefault="00937695">
            <w:pPr>
              <w:jc w:val="center"/>
              <w:cnfStyle w:val="100000000000" w:firstRow="1" w:lastRow="0" w:firstColumn="0" w:lastColumn="0" w:oddVBand="0" w:evenVBand="0" w:oddHBand="0" w:evenHBand="0" w:firstRowFirstColumn="0" w:firstRowLastColumn="0" w:lastRowFirstColumn="0" w:lastRowLastColumn="0"/>
              <w:rPr>
                <w:rFonts w:ascii="Roboto" w:hAnsi="Roboto"/>
                <w:sz w:val="18"/>
                <w:szCs w:val="18"/>
              </w:rPr>
            </w:pPr>
            <w:r w:rsidRPr="007862AE">
              <w:rPr>
                <w:rFonts w:ascii="Roboto" w:hAnsi="Roboto"/>
                <w:sz w:val="18"/>
                <w:szCs w:val="18"/>
              </w:rPr>
              <w:t>Implicación ética</w:t>
            </w:r>
          </w:p>
        </w:tc>
      </w:tr>
      <w:tr w:rsidR="00937695" w:rsidRPr="007862AE" w14:paraId="217EC431" w14:textId="77777777" w:rsidTr="009376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7D8B0CA" w14:textId="77777777" w:rsidR="00937695" w:rsidRPr="007862AE" w:rsidRDefault="00937695">
            <w:pPr>
              <w:rPr>
                <w:rFonts w:ascii="Roboto" w:hAnsi="Roboto"/>
                <w:b w:val="0"/>
                <w:bCs w:val="0"/>
                <w:sz w:val="18"/>
                <w:szCs w:val="18"/>
              </w:rPr>
            </w:pPr>
            <w:r w:rsidRPr="007862AE">
              <w:rPr>
                <w:rFonts w:ascii="Roboto" w:hAnsi="Roboto"/>
                <w:b w:val="0"/>
                <w:bCs w:val="0"/>
                <w:sz w:val="18"/>
                <w:szCs w:val="18"/>
              </w:rPr>
              <w:t>Consentimiento informado</w:t>
            </w:r>
          </w:p>
        </w:tc>
        <w:tc>
          <w:tcPr>
            <w:tcW w:w="0" w:type="auto"/>
            <w:hideMark/>
          </w:tcPr>
          <w:p w14:paraId="2F030ABA" w14:textId="77777777" w:rsidR="00937695" w:rsidRPr="007862AE" w:rsidRDefault="00937695">
            <w:pPr>
              <w:cnfStyle w:val="000000100000" w:firstRow="0" w:lastRow="0" w:firstColumn="0" w:lastColumn="0" w:oddVBand="0" w:evenVBand="0" w:oddHBand="1" w:evenHBand="0" w:firstRowFirstColumn="0" w:firstRowLastColumn="0" w:lastRowFirstColumn="0" w:lastRowLastColumn="0"/>
              <w:rPr>
                <w:rFonts w:ascii="Roboto" w:hAnsi="Roboto"/>
                <w:sz w:val="18"/>
                <w:szCs w:val="18"/>
              </w:rPr>
            </w:pPr>
            <w:r w:rsidRPr="007862AE">
              <w:rPr>
                <w:rFonts w:ascii="Roboto" w:hAnsi="Roboto"/>
                <w:sz w:val="18"/>
                <w:szCs w:val="18"/>
              </w:rPr>
              <w:t>Complejidad y riesgo elevado</w:t>
            </w:r>
          </w:p>
        </w:tc>
        <w:tc>
          <w:tcPr>
            <w:tcW w:w="0" w:type="auto"/>
            <w:hideMark/>
          </w:tcPr>
          <w:p w14:paraId="22BF5724" w14:textId="77777777" w:rsidR="00937695" w:rsidRPr="007862AE" w:rsidRDefault="00937695">
            <w:pPr>
              <w:cnfStyle w:val="000000100000" w:firstRow="0" w:lastRow="0" w:firstColumn="0" w:lastColumn="0" w:oddVBand="0" w:evenVBand="0" w:oddHBand="1" w:evenHBand="0" w:firstRowFirstColumn="0" w:firstRowLastColumn="0" w:lastRowFirstColumn="0" w:lastRowLastColumn="0"/>
              <w:rPr>
                <w:rFonts w:ascii="Roboto" w:hAnsi="Roboto"/>
                <w:sz w:val="18"/>
                <w:szCs w:val="18"/>
              </w:rPr>
            </w:pPr>
            <w:r w:rsidRPr="007862AE">
              <w:rPr>
                <w:rFonts w:ascii="Roboto" w:hAnsi="Roboto"/>
                <w:sz w:val="18"/>
                <w:szCs w:val="18"/>
              </w:rPr>
              <w:t>Autonomía responsable</w:t>
            </w:r>
          </w:p>
        </w:tc>
      </w:tr>
      <w:tr w:rsidR="00937695" w:rsidRPr="007862AE" w14:paraId="3B3DCB8C" w14:textId="77777777" w:rsidTr="00937695">
        <w:tc>
          <w:tcPr>
            <w:cnfStyle w:val="001000000000" w:firstRow="0" w:lastRow="0" w:firstColumn="1" w:lastColumn="0" w:oddVBand="0" w:evenVBand="0" w:oddHBand="0" w:evenHBand="0" w:firstRowFirstColumn="0" w:firstRowLastColumn="0" w:lastRowFirstColumn="0" w:lastRowLastColumn="0"/>
            <w:tcW w:w="0" w:type="auto"/>
            <w:hideMark/>
          </w:tcPr>
          <w:p w14:paraId="1739438D" w14:textId="77777777" w:rsidR="00937695" w:rsidRPr="007862AE" w:rsidRDefault="00937695">
            <w:pPr>
              <w:rPr>
                <w:rFonts w:ascii="Roboto" w:hAnsi="Roboto"/>
                <w:b w:val="0"/>
                <w:bCs w:val="0"/>
                <w:sz w:val="18"/>
                <w:szCs w:val="18"/>
              </w:rPr>
            </w:pPr>
            <w:r w:rsidRPr="007862AE">
              <w:rPr>
                <w:rFonts w:ascii="Roboto" w:hAnsi="Roboto"/>
                <w:b w:val="0"/>
                <w:bCs w:val="0"/>
                <w:sz w:val="18"/>
                <w:szCs w:val="18"/>
              </w:rPr>
              <w:t>Justicia distributiva</w:t>
            </w:r>
          </w:p>
        </w:tc>
        <w:tc>
          <w:tcPr>
            <w:tcW w:w="0" w:type="auto"/>
            <w:hideMark/>
          </w:tcPr>
          <w:p w14:paraId="0AE13119" w14:textId="77777777" w:rsidR="00937695" w:rsidRPr="007862AE" w:rsidRDefault="00937695">
            <w:pPr>
              <w:cnfStyle w:val="000000000000" w:firstRow="0" w:lastRow="0" w:firstColumn="0" w:lastColumn="0" w:oddVBand="0" w:evenVBand="0" w:oddHBand="0" w:evenHBand="0" w:firstRowFirstColumn="0" w:firstRowLastColumn="0" w:lastRowFirstColumn="0" w:lastRowLastColumn="0"/>
              <w:rPr>
                <w:rFonts w:ascii="Roboto" w:hAnsi="Roboto"/>
                <w:sz w:val="18"/>
                <w:szCs w:val="18"/>
              </w:rPr>
            </w:pPr>
            <w:r w:rsidRPr="007862AE">
              <w:rPr>
                <w:rFonts w:ascii="Roboto" w:hAnsi="Roboto"/>
                <w:sz w:val="18"/>
                <w:szCs w:val="18"/>
              </w:rPr>
              <w:t>Alta especialización y costo</w:t>
            </w:r>
          </w:p>
        </w:tc>
        <w:tc>
          <w:tcPr>
            <w:tcW w:w="0" w:type="auto"/>
            <w:hideMark/>
          </w:tcPr>
          <w:p w14:paraId="7C253A62" w14:textId="77777777" w:rsidR="00937695" w:rsidRPr="007862AE" w:rsidRDefault="00937695">
            <w:pPr>
              <w:cnfStyle w:val="000000000000" w:firstRow="0" w:lastRow="0" w:firstColumn="0" w:lastColumn="0" w:oddVBand="0" w:evenVBand="0" w:oddHBand="0" w:evenHBand="0" w:firstRowFirstColumn="0" w:firstRowLastColumn="0" w:lastRowFirstColumn="0" w:lastRowLastColumn="0"/>
              <w:rPr>
                <w:rFonts w:ascii="Roboto" w:hAnsi="Roboto"/>
                <w:sz w:val="18"/>
                <w:szCs w:val="18"/>
              </w:rPr>
            </w:pPr>
            <w:r w:rsidRPr="007862AE">
              <w:rPr>
                <w:rFonts w:ascii="Roboto" w:hAnsi="Roboto"/>
                <w:sz w:val="18"/>
                <w:szCs w:val="18"/>
              </w:rPr>
              <w:t>Equidad en el acceso</w:t>
            </w:r>
          </w:p>
        </w:tc>
      </w:tr>
      <w:tr w:rsidR="00937695" w:rsidRPr="007862AE" w14:paraId="2873180D" w14:textId="77777777" w:rsidTr="009376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CB67CC5" w14:textId="77777777" w:rsidR="00937695" w:rsidRPr="007862AE" w:rsidRDefault="00937695">
            <w:pPr>
              <w:rPr>
                <w:rFonts w:ascii="Roboto" w:hAnsi="Roboto"/>
                <w:b w:val="0"/>
                <w:bCs w:val="0"/>
                <w:sz w:val="18"/>
                <w:szCs w:val="18"/>
              </w:rPr>
            </w:pPr>
            <w:r w:rsidRPr="007862AE">
              <w:rPr>
                <w:rFonts w:ascii="Roboto" w:hAnsi="Roboto"/>
                <w:b w:val="0"/>
                <w:bCs w:val="0"/>
                <w:sz w:val="18"/>
                <w:szCs w:val="18"/>
              </w:rPr>
              <w:t>Identidad personal</w:t>
            </w:r>
          </w:p>
        </w:tc>
        <w:tc>
          <w:tcPr>
            <w:tcW w:w="0" w:type="auto"/>
            <w:hideMark/>
          </w:tcPr>
          <w:p w14:paraId="0FDD7347" w14:textId="77777777" w:rsidR="00937695" w:rsidRPr="007862AE" w:rsidRDefault="00937695">
            <w:pPr>
              <w:cnfStyle w:val="000000100000" w:firstRow="0" w:lastRow="0" w:firstColumn="0" w:lastColumn="0" w:oddVBand="0" w:evenVBand="0" w:oddHBand="1" w:evenHBand="0" w:firstRowFirstColumn="0" w:firstRowLastColumn="0" w:lastRowFirstColumn="0" w:lastRowLastColumn="0"/>
              <w:rPr>
                <w:rFonts w:ascii="Roboto" w:hAnsi="Roboto"/>
                <w:sz w:val="18"/>
                <w:szCs w:val="18"/>
              </w:rPr>
            </w:pPr>
            <w:r w:rsidRPr="007862AE">
              <w:rPr>
                <w:rFonts w:ascii="Roboto" w:hAnsi="Roboto"/>
                <w:sz w:val="18"/>
                <w:szCs w:val="18"/>
              </w:rPr>
              <w:t>Reconstrucción facial</w:t>
            </w:r>
          </w:p>
        </w:tc>
        <w:tc>
          <w:tcPr>
            <w:tcW w:w="0" w:type="auto"/>
            <w:hideMark/>
          </w:tcPr>
          <w:p w14:paraId="3D9C18E0" w14:textId="77777777" w:rsidR="00937695" w:rsidRPr="007862AE" w:rsidRDefault="00937695">
            <w:pPr>
              <w:cnfStyle w:val="000000100000" w:firstRow="0" w:lastRow="0" w:firstColumn="0" w:lastColumn="0" w:oddVBand="0" w:evenVBand="0" w:oddHBand="1" w:evenHBand="0" w:firstRowFirstColumn="0" w:firstRowLastColumn="0" w:lastRowFirstColumn="0" w:lastRowLastColumn="0"/>
              <w:rPr>
                <w:rFonts w:ascii="Roboto" w:hAnsi="Roboto"/>
                <w:sz w:val="18"/>
                <w:szCs w:val="18"/>
              </w:rPr>
            </w:pPr>
            <w:r w:rsidRPr="007862AE">
              <w:rPr>
                <w:rFonts w:ascii="Roboto" w:hAnsi="Roboto"/>
                <w:sz w:val="18"/>
                <w:szCs w:val="18"/>
              </w:rPr>
              <w:t>Bienestar psicosocial</w:t>
            </w:r>
          </w:p>
        </w:tc>
      </w:tr>
      <w:tr w:rsidR="00937695" w:rsidRPr="007862AE" w14:paraId="4841D59F" w14:textId="77777777" w:rsidTr="00937695">
        <w:tc>
          <w:tcPr>
            <w:cnfStyle w:val="001000000000" w:firstRow="0" w:lastRow="0" w:firstColumn="1" w:lastColumn="0" w:oddVBand="0" w:evenVBand="0" w:oddHBand="0" w:evenHBand="0" w:firstRowFirstColumn="0" w:firstRowLastColumn="0" w:lastRowFirstColumn="0" w:lastRowLastColumn="0"/>
            <w:tcW w:w="0" w:type="auto"/>
            <w:hideMark/>
          </w:tcPr>
          <w:p w14:paraId="626E79EC" w14:textId="77777777" w:rsidR="00937695" w:rsidRPr="007862AE" w:rsidRDefault="00937695">
            <w:pPr>
              <w:rPr>
                <w:rFonts w:ascii="Roboto" w:hAnsi="Roboto"/>
                <w:b w:val="0"/>
                <w:bCs w:val="0"/>
                <w:sz w:val="18"/>
                <w:szCs w:val="18"/>
              </w:rPr>
            </w:pPr>
            <w:r w:rsidRPr="007862AE">
              <w:rPr>
                <w:rFonts w:ascii="Roboto" w:hAnsi="Roboto"/>
                <w:b w:val="0"/>
                <w:bCs w:val="0"/>
                <w:sz w:val="18"/>
                <w:szCs w:val="18"/>
              </w:rPr>
              <w:t>Donante y familia</w:t>
            </w:r>
          </w:p>
        </w:tc>
        <w:tc>
          <w:tcPr>
            <w:tcW w:w="0" w:type="auto"/>
            <w:hideMark/>
          </w:tcPr>
          <w:p w14:paraId="43482C59" w14:textId="77777777" w:rsidR="00937695" w:rsidRPr="007862AE" w:rsidRDefault="00937695">
            <w:pPr>
              <w:cnfStyle w:val="000000000000" w:firstRow="0" w:lastRow="0" w:firstColumn="0" w:lastColumn="0" w:oddVBand="0" w:evenVBand="0" w:oddHBand="0" w:evenHBand="0" w:firstRowFirstColumn="0" w:firstRowLastColumn="0" w:lastRowFirstColumn="0" w:lastRowLastColumn="0"/>
              <w:rPr>
                <w:rFonts w:ascii="Roboto" w:hAnsi="Roboto"/>
                <w:sz w:val="18"/>
                <w:szCs w:val="18"/>
              </w:rPr>
            </w:pPr>
            <w:r w:rsidRPr="007862AE">
              <w:rPr>
                <w:rFonts w:ascii="Roboto" w:hAnsi="Roboto"/>
                <w:sz w:val="18"/>
                <w:szCs w:val="18"/>
              </w:rPr>
              <w:t>Respeto post mortem</w:t>
            </w:r>
          </w:p>
        </w:tc>
        <w:tc>
          <w:tcPr>
            <w:tcW w:w="0" w:type="auto"/>
            <w:hideMark/>
          </w:tcPr>
          <w:p w14:paraId="42DA3576" w14:textId="77777777" w:rsidR="00937695" w:rsidRPr="007862AE" w:rsidRDefault="00937695">
            <w:pPr>
              <w:cnfStyle w:val="000000000000" w:firstRow="0" w:lastRow="0" w:firstColumn="0" w:lastColumn="0" w:oddVBand="0" w:evenVBand="0" w:oddHBand="0" w:evenHBand="0" w:firstRowFirstColumn="0" w:firstRowLastColumn="0" w:lastRowFirstColumn="0" w:lastRowLastColumn="0"/>
              <w:rPr>
                <w:rFonts w:ascii="Roboto" w:hAnsi="Roboto"/>
                <w:sz w:val="18"/>
                <w:szCs w:val="18"/>
              </w:rPr>
            </w:pPr>
            <w:r w:rsidRPr="007862AE">
              <w:rPr>
                <w:rFonts w:ascii="Roboto" w:hAnsi="Roboto"/>
                <w:sz w:val="18"/>
                <w:szCs w:val="18"/>
              </w:rPr>
              <w:t>Ética del cuidado</w:t>
            </w:r>
          </w:p>
        </w:tc>
      </w:tr>
      <w:tr w:rsidR="00937695" w:rsidRPr="007862AE" w14:paraId="3D379223" w14:textId="77777777" w:rsidTr="009376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0AD01DD" w14:textId="77777777" w:rsidR="00937695" w:rsidRPr="007862AE" w:rsidRDefault="00937695">
            <w:pPr>
              <w:rPr>
                <w:rFonts w:ascii="Roboto" w:hAnsi="Roboto"/>
                <w:b w:val="0"/>
                <w:bCs w:val="0"/>
                <w:sz w:val="18"/>
                <w:szCs w:val="18"/>
              </w:rPr>
            </w:pPr>
            <w:r w:rsidRPr="007862AE">
              <w:rPr>
                <w:rFonts w:ascii="Roboto" w:hAnsi="Roboto"/>
                <w:b w:val="0"/>
                <w:bCs w:val="0"/>
                <w:sz w:val="18"/>
                <w:szCs w:val="18"/>
              </w:rPr>
              <w:t>Marco jurídico</w:t>
            </w:r>
          </w:p>
        </w:tc>
        <w:tc>
          <w:tcPr>
            <w:tcW w:w="0" w:type="auto"/>
            <w:hideMark/>
          </w:tcPr>
          <w:p w14:paraId="282D519B" w14:textId="77777777" w:rsidR="00937695" w:rsidRPr="007862AE" w:rsidRDefault="00937695">
            <w:pPr>
              <w:cnfStyle w:val="000000100000" w:firstRow="0" w:lastRow="0" w:firstColumn="0" w:lastColumn="0" w:oddVBand="0" w:evenVBand="0" w:oddHBand="1" w:evenHBand="0" w:firstRowFirstColumn="0" w:firstRowLastColumn="0" w:lastRowFirstColumn="0" w:lastRowLastColumn="0"/>
              <w:rPr>
                <w:rFonts w:ascii="Roboto" w:hAnsi="Roboto"/>
                <w:sz w:val="18"/>
                <w:szCs w:val="18"/>
              </w:rPr>
            </w:pPr>
            <w:r w:rsidRPr="007862AE">
              <w:rPr>
                <w:rFonts w:ascii="Roboto" w:hAnsi="Roboto"/>
                <w:sz w:val="18"/>
                <w:szCs w:val="18"/>
              </w:rPr>
              <w:t>Regulación insuficiente</w:t>
            </w:r>
          </w:p>
        </w:tc>
        <w:tc>
          <w:tcPr>
            <w:tcW w:w="0" w:type="auto"/>
            <w:hideMark/>
          </w:tcPr>
          <w:p w14:paraId="6DA0645F" w14:textId="77777777" w:rsidR="00937695" w:rsidRPr="007862AE" w:rsidRDefault="00937695">
            <w:pPr>
              <w:cnfStyle w:val="000000100000" w:firstRow="0" w:lastRow="0" w:firstColumn="0" w:lastColumn="0" w:oddVBand="0" w:evenVBand="0" w:oddHBand="1" w:evenHBand="0" w:firstRowFirstColumn="0" w:firstRowLastColumn="0" w:lastRowFirstColumn="0" w:lastRowLastColumn="0"/>
              <w:rPr>
                <w:rFonts w:ascii="Roboto" w:hAnsi="Roboto"/>
                <w:sz w:val="18"/>
                <w:szCs w:val="18"/>
              </w:rPr>
            </w:pPr>
            <w:r w:rsidRPr="007862AE">
              <w:rPr>
                <w:rFonts w:ascii="Roboto" w:hAnsi="Roboto"/>
                <w:sz w:val="18"/>
                <w:szCs w:val="18"/>
              </w:rPr>
              <w:t>Seguridad jurídica</w:t>
            </w:r>
          </w:p>
        </w:tc>
      </w:tr>
    </w:tbl>
    <w:p w14:paraId="714778C7" w14:textId="163979AD" w:rsidR="002A0D36" w:rsidRPr="002A0D36" w:rsidRDefault="002A0D36" w:rsidP="002A0D36">
      <w:pPr>
        <w:keepNext/>
        <w:jc w:val="both"/>
        <w:rPr>
          <w:rFonts w:ascii="Roboto" w:eastAsia="Roboto" w:hAnsi="Roboto" w:cs="Roboto"/>
          <w:b/>
          <w:sz w:val="20"/>
          <w:szCs w:val="20"/>
        </w:rPr>
      </w:pPr>
      <w:r w:rsidRPr="002A0D36">
        <w:rPr>
          <w:rFonts w:ascii="Roboto" w:eastAsia="Roboto" w:hAnsi="Roboto" w:cs="Roboto"/>
          <w:b/>
          <w:sz w:val="20"/>
          <w:szCs w:val="20"/>
        </w:rPr>
        <w:lastRenderedPageBreak/>
        <w:t>Consideraciones jurídicas y marco normativo</w:t>
      </w:r>
    </w:p>
    <w:p w14:paraId="1A291F8D" w14:textId="77777777" w:rsidR="007862AE" w:rsidRPr="007862AE" w:rsidRDefault="007862AE" w:rsidP="007862AE">
      <w:pPr>
        <w:keepNext/>
        <w:jc w:val="both"/>
        <w:rPr>
          <w:rFonts w:ascii="Roboto" w:eastAsia="Roboto" w:hAnsi="Roboto" w:cs="Roboto"/>
          <w:bCs/>
          <w:sz w:val="20"/>
          <w:szCs w:val="20"/>
        </w:rPr>
      </w:pPr>
      <w:r w:rsidRPr="007862AE">
        <w:rPr>
          <w:rFonts w:ascii="Roboto" w:eastAsia="Roboto" w:hAnsi="Roboto" w:cs="Roboto"/>
          <w:bCs/>
          <w:sz w:val="20"/>
          <w:szCs w:val="20"/>
        </w:rPr>
        <w:t>Desde el punto de vista jurídico, el trasplante de cara en México se inserta en un marco normativo que exige el cumplimiento estricto de la legislación sanitaria vigente, particularmente en materia de consentimiento informado, donación de órganos y autorización de procedimientos experimentales (</w:t>
      </w:r>
      <w:proofErr w:type="spellStart"/>
      <w:r w:rsidRPr="007862AE">
        <w:rPr>
          <w:rFonts w:ascii="Roboto" w:eastAsia="Roboto" w:hAnsi="Roboto" w:cs="Roboto"/>
          <w:bCs/>
          <w:sz w:val="20"/>
          <w:szCs w:val="20"/>
        </w:rPr>
        <w:t>Navigante</w:t>
      </w:r>
      <w:proofErr w:type="spellEnd"/>
      <w:r w:rsidRPr="007862AE">
        <w:rPr>
          <w:rFonts w:ascii="Roboto" w:eastAsia="Roboto" w:hAnsi="Roboto" w:cs="Roboto"/>
          <w:bCs/>
          <w:sz w:val="20"/>
          <w:szCs w:val="20"/>
        </w:rPr>
        <w:t xml:space="preserve"> et al., 2021; Palomares-Cantero, 2023). La ausencia de una regulación específica para el trasplante facial obliga a interpretar y aplicar de manera cuidadosa las disposiciones existentes, garantizando la protección de los derechos del paciente y la responsabilidad profesional del equipo médico (Mendoza Ruelas, 2022).</w:t>
      </w:r>
    </w:p>
    <w:p w14:paraId="07490F56" w14:textId="77777777" w:rsidR="007862AE" w:rsidRPr="007862AE" w:rsidRDefault="007862AE" w:rsidP="007862AE">
      <w:pPr>
        <w:keepNext/>
        <w:jc w:val="both"/>
        <w:rPr>
          <w:rFonts w:ascii="Roboto" w:eastAsia="Roboto" w:hAnsi="Roboto" w:cs="Roboto"/>
          <w:bCs/>
          <w:sz w:val="20"/>
          <w:szCs w:val="20"/>
        </w:rPr>
      </w:pPr>
      <w:r w:rsidRPr="007862AE">
        <w:rPr>
          <w:rFonts w:ascii="Roboto" w:eastAsia="Roboto" w:hAnsi="Roboto" w:cs="Roboto"/>
          <w:bCs/>
          <w:sz w:val="20"/>
          <w:szCs w:val="20"/>
        </w:rPr>
        <w:t>En este contexto, la toma de decisiones clínicas relacionadas con el trasplante facial se ve atravesada por una elevada carga de responsabilidad jurídica, tanto para las instituciones de salud como para los profesionales involucrados, quienes deben actuar bajo criterios de proporcionalidad, prudencia y transparencia. La complejidad técnica del procedimiento y la posibilidad de efectos adversos a largo plazo refuerzan la necesidad de documentar de manera rigurosa los procesos de evaluación, autorización y seguimiento del paciente, a fin de minimizar riesgos legales y éticos asociados a la práctica clínica (Palomares-Cantero, 2023).</w:t>
      </w:r>
    </w:p>
    <w:p w14:paraId="7359F9C2" w14:textId="473750D7" w:rsidR="009318DF" w:rsidRDefault="007862AE" w:rsidP="007862AE">
      <w:pPr>
        <w:keepNext/>
        <w:jc w:val="both"/>
        <w:rPr>
          <w:rFonts w:ascii="Roboto" w:eastAsia="Roboto" w:hAnsi="Roboto" w:cs="Roboto"/>
          <w:bCs/>
          <w:sz w:val="20"/>
          <w:szCs w:val="20"/>
        </w:rPr>
      </w:pPr>
      <w:r w:rsidRPr="007862AE">
        <w:rPr>
          <w:rFonts w:ascii="Roboto" w:eastAsia="Roboto" w:hAnsi="Roboto" w:cs="Roboto"/>
          <w:bCs/>
          <w:sz w:val="20"/>
          <w:szCs w:val="20"/>
        </w:rPr>
        <w:t>La dimensión jurídica refuerza la necesidad de protocolos éticos y normativos claros que orienten la toma de decisiones clínicas y administrativas, reduciendo la incertidumbre legal y fortaleciendo la confianza social en este tipo de intervenciones (Páez, 2020; Palomares-Cantero, 2023).</w:t>
      </w:r>
    </w:p>
    <w:p w14:paraId="302518BB" w14:textId="77777777" w:rsidR="007862AE" w:rsidRDefault="007862AE" w:rsidP="007862AE">
      <w:pPr>
        <w:keepNext/>
        <w:jc w:val="both"/>
        <w:rPr>
          <w:rFonts w:ascii="Roboto" w:eastAsia="Roboto" w:hAnsi="Roboto" w:cs="Roboto"/>
          <w:bCs/>
          <w:sz w:val="20"/>
          <w:szCs w:val="20"/>
        </w:rPr>
      </w:pPr>
    </w:p>
    <w:p w14:paraId="15D8BC80" w14:textId="62C5AB61" w:rsidR="0099607F" w:rsidRPr="0099607F" w:rsidRDefault="0099607F" w:rsidP="002A0D36">
      <w:pPr>
        <w:keepNext/>
        <w:jc w:val="both"/>
        <w:rPr>
          <w:rFonts w:ascii="Roboto" w:eastAsia="Roboto" w:hAnsi="Roboto" w:cs="Roboto"/>
          <w:b/>
          <w:sz w:val="20"/>
          <w:szCs w:val="20"/>
        </w:rPr>
      </w:pPr>
      <w:r w:rsidRPr="0099607F">
        <w:rPr>
          <w:rFonts w:ascii="Roboto" w:eastAsia="Roboto" w:hAnsi="Roboto" w:cs="Roboto"/>
          <w:b/>
          <w:sz w:val="20"/>
          <w:szCs w:val="20"/>
        </w:rPr>
        <w:t>Figura 1. Ejes éticos del trasplante de cara desde una perspectiva bioética integral.</w:t>
      </w:r>
    </w:p>
    <w:p w14:paraId="5681B204" w14:textId="489720F7" w:rsidR="00937695" w:rsidRDefault="00937695" w:rsidP="002A0D36">
      <w:pPr>
        <w:keepNext/>
        <w:jc w:val="both"/>
        <w:rPr>
          <w:rFonts w:ascii="Roboto" w:eastAsia="Roboto" w:hAnsi="Roboto" w:cs="Roboto"/>
          <w:bCs/>
          <w:sz w:val="20"/>
          <w:szCs w:val="20"/>
        </w:rPr>
      </w:pPr>
    </w:p>
    <w:p w14:paraId="68D87194" w14:textId="1A6FC001" w:rsidR="00937695" w:rsidRPr="002A0D36" w:rsidRDefault="00937695" w:rsidP="002A0D36">
      <w:pPr>
        <w:keepNext/>
        <w:jc w:val="both"/>
        <w:rPr>
          <w:rFonts w:ascii="Roboto" w:eastAsia="Roboto" w:hAnsi="Roboto" w:cs="Roboto"/>
          <w:bCs/>
          <w:sz w:val="20"/>
          <w:szCs w:val="20"/>
        </w:rPr>
      </w:pPr>
      <w:r>
        <w:rPr>
          <w:rFonts w:ascii="Roboto" w:eastAsia="Roboto" w:hAnsi="Roboto" w:cs="Roboto"/>
          <w:bCs/>
          <w:noProof/>
          <w:sz w:val="20"/>
          <w:szCs w:val="20"/>
        </w:rPr>
        <w:drawing>
          <wp:inline distT="0" distB="0" distL="0" distR="0" wp14:anchorId="4C259F02" wp14:editId="2FC7D1CC">
            <wp:extent cx="3155950" cy="2226310"/>
            <wp:effectExtent l="0" t="0" r="0" b="254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63D85625" w14:textId="77777777" w:rsidR="0099607F" w:rsidRPr="0099607F" w:rsidRDefault="0099607F" w:rsidP="0099607F">
      <w:pPr>
        <w:keepNext/>
        <w:jc w:val="center"/>
        <w:rPr>
          <w:rFonts w:ascii="Roboto" w:eastAsia="Roboto" w:hAnsi="Roboto" w:cs="Roboto"/>
          <w:b/>
          <w:i/>
          <w:iCs/>
          <w:sz w:val="8"/>
          <w:szCs w:val="8"/>
        </w:rPr>
      </w:pPr>
    </w:p>
    <w:p w14:paraId="4C523792" w14:textId="1FC857AD" w:rsidR="0099607F" w:rsidRPr="0099607F" w:rsidRDefault="00937695" w:rsidP="0099607F">
      <w:pPr>
        <w:keepNext/>
        <w:jc w:val="center"/>
        <w:rPr>
          <w:rFonts w:ascii="Roboto" w:eastAsia="Roboto" w:hAnsi="Roboto" w:cs="Roboto"/>
          <w:b/>
          <w:i/>
          <w:iCs/>
          <w:sz w:val="20"/>
          <w:szCs w:val="20"/>
        </w:rPr>
      </w:pPr>
      <w:r w:rsidRPr="0099607F">
        <w:rPr>
          <w:rFonts w:ascii="Roboto" w:eastAsia="Roboto" w:hAnsi="Roboto" w:cs="Roboto"/>
          <w:b/>
          <w:i/>
          <w:iCs/>
          <w:sz w:val="20"/>
          <w:szCs w:val="20"/>
        </w:rPr>
        <w:t xml:space="preserve">Dignidad humana </w:t>
      </w:r>
    </w:p>
    <w:p w14:paraId="3CB8947B" w14:textId="51CD4EBB" w:rsidR="002A0D36" w:rsidRPr="00937695" w:rsidRDefault="0099607F" w:rsidP="0099607F">
      <w:pPr>
        <w:keepNext/>
        <w:jc w:val="center"/>
        <w:rPr>
          <w:rFonts w:ascii="Roboto" w:eastAsia="Roboto" w:hAnsi="Roboto" w:cs="Roboto"/>
          <w:bCs/>
          <w:i/>
          <w:iCs/>
          <w:sz w:val="20"/>
          <w:szCs w:val="20"/>
        </w:rPr>
      </w:pPr>
      <w:r>
        <w:rPr>
          <w:rFonts w:ascii="Roboto" w:eastAsia="Roboto" w:hAnsi="Roboto" w:cs="Roboto"/>
          <w:bCs/>
          <w:i/>
          <w:iCs/>
          <w:sz w:val="20"/>
          <w:szCs w:val="20"/>
        </w:rPr>
        <w:t>f</w:t>
      </w:r>
      <w:r w:rsidR="00937695" w:rsidRPr="00937695">
        <w:rPr>
          <w:rFonts w:ascii="Roboto" w:eastAsia="Roboto" w:hAnsi="Roboto" w:cs="Roboto"/>
          <w:bCs/>
          <w:i/>
          <w:iCs/>
          <w:sz w:val="20"/>
          <w:szCs w:val="20"/>
        </w:rPr>
        <w:t>undamento ético transversal</w:t>
      </w:r>
    </w:p>
    <w:p w14:paraId="3EB9976B" w14:textId="77777777" w:rsidR="00937695" w:rsidRPr="002A0D36" w:rsidRDefault="00937695" w:rsidP="002A0D36">
      <w:pPr>
        <w:keepNext/>
        <w:jc w:val="both"/>
        <w:rPr>
          <w:rFonts w:ascii="Roboto" w:eastAsia="Roboto" w:hAnsi="Roboto" w:cs="Roboto"/>
          <w:bCs/>
          <w:sz w:val="20"/>
          <w:szCs w:val="20"/>
        </w:rPr>
      </w:pPr>
    </w:p>
    <w:p w14:paraId="10250868" w14:textId="77777777" w:rsidR="002A0D36" w:rsidRPr="002A0D36" w:rsidRDefault="002A0D36" w:rsidP="002A0D36">
      <w:pPr>
        <w:keepNext/>
        <w:jc w:val="both"/>
        <w:rPr>
          <w:rFonts w:ascii="Roboto" w:eastAsia="Roboto" w:hAnsi="Roboto" w:cs="Roboto"/>
          <w:b/>
          <w:sz w:val="20"/>
          <w:szCs w:val="20"/>
        </w:rPr>
      </w:pPr>
      <w:r w:rsidRPr="002A0D36">
        <w:rPr>
          <w:rFonts w:ascii="Roboto" w:eastAsia="Roboto" w:hAnsi="Roboto" w:cs="Roboto"/>
          <w:b/>
          <w:sz w:val="20"/>
          <w:szCs w:val="20"/>
        </w:rPr>
        <w:t>Conclusiones y aportaciones</w:t>
      </w:r>
    </w:p>
    <w:p w14:paraId="3976D2C4" w14:textId="77777777" w:rsidR="007862AE" w:rsidRPr="007862AE" w:rsidRDefault="007862AE" w:rsidP="007862AE">
      <w:pPr>
        <w:keepNext/>
        <w:jc w:val="both"/>
        <w:rPr>
          <w:rFonts w:ascii="Roboto" w:eastAsia="Roboto" w:hAnsi="Roboto" w:cs="Roboto"/>
          <w:bCs/>
          <w:sz w:val="20"/>
          <w:szCs w:val="20"/>
        </w:rPr>
      </w:pPr>
      <w:r w:rsidRPr="007862AE">
        <w:rPr>
          <w:rFonts w:ascii="Roboto" w:eastAsia="Roboto" w:hAnsi="Roboto" w:cs="Roboto"/>
          <w:bCs/>
          <w:sz w:val="20"/>
          <w:szCs w:val="20"/>
        </w:rPr>
        <w:t xml:space="preserve">El trasplante de cara constituye una intervención médica de alto impacto que no puede ser evaluada únicamente desde criterios técnicos o clínicos. Su práctica exige una reflexión bioética integral que considere la dignidad de </w:t>
      </w:r>
      <w:r w:rsidRPr="007862AE">
        <w:rPr>
          <w:rFonts w:ascii="Roboto" w:eastAsia="Roboto" w:hAnsi="Roboto" w:cs="Roboto"/>
          <w:bCs/>
          <w:sz w:val="20"/>
          <w:szCs w:val="20"/>
        </w:rPr>
        <w:t xml:space="preserve">la persona, la autonomía del paciente, la justicia en la asignación de recursos y el uso responsable de la tecnología médica (Andrews, 2019; </w:t>
      </w:r>
      <w:proofErr w:type="spellStart"/>
      <w:r w:rsidRPr="007862AE">
        <w:rPr>
          <w:rFonts w:ascii="Roboto" w:eastAsia="Roboto" w:hAnsi="Roboto" w:cs="Roboto"/>
          <w:bCs/>
          <w:sz w:val="20"/>
          <w:szCs w:val="20"/>
        </w:rPr>
        <w:t>Pascalev</w:t>
      </w:r>
      <w:proofErr w:type="spellEnd"/>
      <w:r w:rsidRPr="007862AE">
        <w:rPr>
          <w:rFonts w:ascii="Roboto" w:eastAsia="Roboto" w:hAnsi="Roboto" w:cs="Roboto"/>
          <w:bCs/>
          <w:sz w:val="20"/>
          <w:szCs w:val="20"/>
        </w:rPr>
        <w:t xml:space="preserve"> &amp; </w:t>
      </w:r>
      <w:proofErr w:type="spellStart"/>
      <w:r w:rsidRPr="007862AE">
        <w:rPr>
          <w:rFonts w:ascii="Roboto" w:eastAsia="Roboto" w:hAnsi="Roboto" w:cs="Roboto"/>
          <w:bCs/>
          <w:sz w:val="20"/>
          <w:szCs w:val="20"/>
        </w:rPr>
        <w:t>Georgieva</w:t>
      </w:r>
      <w:proofErr w:type="spellEnd"/>
      <w:r w:rsidRPr="007862AE">
        <w:rPr>
          <w:rFonts w:ascii="Roboto" w:eastAsia="Roboto" w:hAnsi="Roboto" w:cs="Roboto"/>
          <w:bCs/>
          <w:sz w:val="20"/>
          <w:szCs w:val="20"/>
        </w:rPr>
        <w:t>, 2020).</w:t>
      </w:r>
    </w:p>
    <w:p w14:paraId="4027F196" w14:textId="77777777" w:rsidR="007862AE" w:rsidRPr="007862AE" w:rsidRDefault="007862AE" w:rsidP="007862AE">
      <w:pPr>
        <w:keepNext/>
        <w:jc w:val="both"/>
        <w:rPr>
          <w:rFonts w:ascii="Roboto" w:eastAsia="Roboto" w:hAnsi="Roboto" w:cs="Roboto"/>
          <w:bCs/>
          <w:sz w:val="20"/>
          <w:szCs w:val="20"/>
        </w:rPr>
      </w:pPr>
      <w:r w:rsidRPr="007862AE">
        <w:rPr>
          <w:rFonts w:ascii="Roboto" w:eastAsia="Roboto" w:hAnsi="Roboto" w:cs="Roboto"/>
          <w:bCs/>
          <w:sz w:val="20"/>
          <w:szCs w:val="20"/>
        </w:rPr>
        <w:t>Desde una perspectiva bioética personalista, el trasplante facial puede considerarse éticamente justificable siempre que se respeten principios fundamentales como el consentimiento informado, la proporcionalidad terapéutica, la solidaridad y la subsidiariedad (</w:t>
      </w:r>
      <w:proofErr w:type="spellStart"/>
      <w:r w:rsidRPr="007862AE">
        <w:rPr>
          <w:rFonts w:ascii="Roboto" w:eastAsia="Roboto" w:hAnsi="Roboto" w:cs="Roboto"/>
          <w:bCs/>
          <w:sz w:val="20"/>
          <w:szCs w:val="20"/>
        </w:rPr>
        <w:t>Novitzky</w:t>
      </w:r>
      <w:proofErr w:type="spellEnd"/>
      <w:r w:rsidRPr="007862AE">
        <w:rPr>
          <w:rFonts w:ascii="Roboto" w:eastAsia="Roboto" w:hAnsi="Roboto" w:cs="Roboto"/>
          <w:bCs/>
          <w:sz w:val="20"/>
          <w:szCs w:val="20"/>
        </w:rPr>
        <w:t xml:space="preserve"> et al., 2018; Palomares-Cantero, 2023). La implementación de directrices éticas claras y el fortalecimiento del diálogo interdisciplinario resultan indispensables para orientar su desarrollo futuro y favorecer una práctica clínica socialmente responsable (Páez, 2020).</w:t>
      </w:r>
    </w:p>
    <w:p w14:paraId="10C64722" w14:textId="2D35920D" w:rsidR="009318DF" w:rsidRDefault="007862AE" w:rsidP="007862AE">
      <w:pPr>
        <w:keepNext/>
        <w:jc w:val="both"/>
        <w:rPr>
          <w:rFonts w:ascii="Roboto" w:eastAsia="Roboto" w:hAnsi="Roboto" w:cs="Roboto"/>
          <w:bCs/>
          <w:sz w:val="20"/>
          <w:szCs w:val="20"/>
        </w:rPr>
      </w:pPr>
      <w:r w:rsidRPr="007862AE">
        <w:rPr>
          <w:rFonts w:ascii="Roboto" w:eastAsia="Roboto" w:hAnsi="Roboto" w:cs="Roboto"/>
          <w:bCs/>
          <w:sz w:val="20"/>
          <w:szCs w:val="20"/>
        </w:rPr>
        <w:t>En este sentido, el análisis bioético del trasplante de cara no solo contribuye a clarificar los límites y condiciones de legitimidad de esta intervención, sino que ofrece criterios orientadores para la toma de decisiones institucionales y de política sanitaria, particularmente en contextos con recursos limitados. La integración sistemática de la reflexión ética en los procesos clínicos y normativos permite avanzar hacia modelos de atención más responsables, centrados en la persona y comprometidos con el bien común.</w:t>
      </w:r>
    </w:p>
    <w:p w14:paraId="7B30C972" w14:textId="77777777" w:rsidR="007862AE" w:rsidRDefault="007862AE" w:rsidP="007862AE">
      <w:pPr>
        <w:keepNext/>
        <w:jc w:val="both"/>
        <w:rPr>
          <w:rFonts w:ascii="Roboto" w:eastAsia="Roboto" w:hAnsi="Roboto" w:cs="Roboto"/>
          <w:b/>
          <w:sz w:val="20"/>
          <w:szCs w:val="20"/>
        </w:rPr>
      </w:pPr>
    </w:p>
    <w:p w14:paraId="6CED8EDD" w14:textId="77777777" w:rsidR="007862AE" w:rsidRDefault="00363A3B" w:rsidP="007862AE">
      <w:pPr>
        <w:jc w:val="both"/>
        <w:rPr>
          <w:rFonts w:ascii="Roboto" w:eastAsia="Roboto" w:hAnsi="Roboto" w:cs="Roboto"/>
          <w:b/>
          <w:sz w:val="20"/>
          <w:szCs w:val="20"/>
        </w:rPr>
      </w:pPr>
      <w:r>
        <w:rPr>
          <w:rFonts w:ascii="Roboto" w:eastAsia="Roboto" w:hAnsi="Roboto" w:cs="Roboto"/>
          <w:b/>
          <w:sz w:val="20"/>
          <w:szCs w:val="20"/>
        </w:rPr>
        <w:t xml:space="preserve">REFERENCIAS </w:t>
      </w:r>
    </w:p>
    <w:p w14:paraId="764F5588" w14:textId="35DF21B2" w:rsidR="0099607F" w:rsidRPr="007862AE" w:rsidRDefault="0099607F" w:rsidP="007862AE">
      <w:pPr>
        <w:pStyle w:val="Prrafodelista"/>
        <w:numPr>
          <w:ilvl w:val="0"/>
          <w:numId w:val="1"/>
        </w:numPr>
        <w:jc w:val="both"/>
        <w:rPr>
          <w:rFonts w:ascii="Roboto" w:eastAsia="Roboto" w:hAnsi="Roboto" w:cs="Roboto"/>
          <w:sz w:val="20"/>
          <w:szCs w:val="20"/>
        </w:rPr>
      </w:pPr>
      <w:r w:rsidRPr="007862AE">
        <w:rPr>
          <w:rFonts w:ascii="Roboto" w:eastAsia="Roboto" w:hAnsi="Roboto" w:cs="Roboto"/>
          <w:sz w:val="20"/>
          <w:szCs w:val="20"/>
        </w:rPr>
        <w:t xml:space="preserve">Andrews, B. (2019). Facial </w:t>
      </w:r>
      <w:proofErr w:type="spellStart"/>
      <w:r w:rsidRPr="007862AE">
        <w:rPr>
          <w:rFonts w:ascii="Roboto" w:eastAsia="Roboto" w:hAnsi="Roboto" w:cs="Roboto"/>
          <w:sz w:val="20"/>
          <w:szCs w:val="20"/>
        </w:rPr>
        <w:t>transplantation</w:t>
      </w:r>
      <w:proofErr w:type="spellEnd"/>
      <w:r w:rsidRPr="007862AE">
        <w:rPr>
          <w:rFonts w:ascii="Roboto" w:eastAsia="Roboto" w:hAnsi="Roboto" w:cs="Roboto"/>
          <w:sz w:val="20"/>
          <w:szCs w:val="20"/>
        </w:rPr>
        <w:t xml:space="preserve"> and </w:t>
      </w:r>
      <w:proofErr w:type="spellStart"/>
      <w:r w:rsidRPr="007862AE">
        <w:rPr>
          <w:rFonts w:ascii="Roboto" w:eastAsia="Roboto" w:hAnsi="Roboto" w:cs="Roboto"/>
          <w:sz w:val="20"/>
          <w:szCs w:val="20"/>
        </w:rPr>
        <w:t>the</w:t>
      </w:r>
      <w:proofErr w:type="spellEnd"/>
      <w:r w:rsidRPr="007862AE">
        <w:rPr>
          <w:rFonts w:ascii="Roboto" w:eastAsia="Roboto" w:hAnsi="Roboto" w:cs="Roboto"/>
          <w:sz w:val="20"/>
          <w:szCs w:val="20"/>
        </w:rPr>
        <w:t xml:space="preserve"> </w:t>
      </w:r>
      <w:proofErr w:type="spellStart"/>
      <w:r w:rsidRPr="007862AE">
        <w:rPr>
          <w:rFonts w:ascii="Roboto" w:eastAsia="Roboto" w:hAnsi="Roboto" w:cs="Roboto"/>
          <w:sz w:val="20"/>
          <w:szCs w:val="20"/>
        </w:rPr>
        <w:t>ethics</w:t>
      </w:r>
      <w:proofErr w:type="spellEnd"/>
      <w:r w:rsidRPr="007862AE">
        <w:rPr>
          <w:rFonts w:ascii="Roboto" w:eastAsia="Roboto" w:hAnsi="Roboto" w:cs="Roboto"/>
          <w:sz w:val="20"/>
          <w:szCs w:val="20"/>
        </w:rPr>
        <w:t xml:space="preserve"> </w:t>
      </w:r>
      <w:proofErr w:type="spellStart"/>
      <w:r w:rsidRPr="007862AE">
        <w:rPr>
          <w:rFonts w:ascii="Roboto" w:eastAsia="Roboto" w:hAnsi="Roboto" w:cs="Roboto"/>
          <w:sz w:val="20"/>
          <w:szCs w:val="20"/>
        </w:rPr>
        <w:t>of</w:t>
      </w:r>
      <w:proofErr w:type="spellEnd"/>
      <w:r w:rsidRPr="007862AE">
        <w:rPr>
          <w:rFonts w:ascii="Roboto" w:eastAsia="Roboto" w:hAnsi="Roboto" w:cs="Roboto"/>
          <w:sz w:val="20"/>
          <w:szCs w:val="20"/>
        </w:rPr>
        <w:t xml:space="preserve"> </w:t>
      </w:r>
      <w:proofErr w:type="spellStart"/>
      <w:r w:rsidRPr="007862AE">
        <w:rPr>
          <w:rFonts w:ascii="Roboto" w:eastAsia="Roboto" w:hAnsi="Roboto" w:cs="Roboto"/>
          <w:sz w:val="20"/>
          <w:szCs w:val="20"/>
        </w:rPr>
        <w:t>risk</w:t>
      </w:r>
      <w:proofErr w:type="spellEnd"/>
      <w:r w:rsidRPr="007862AE">
        <w:rPr>
          <w:rFonts w:ascii="Roboto" w:eastAsia="Roboto" w:hAnsi="Roboto" w:cs="Roboto"/>
          <w:sz w:val="20"/>
          <w:szCs w:val="20"/>
        </w:rPr>
        <w:t xml:space="preserve">. </w:t>
      </w:r>
      <w:proofErr w:type="spellStart"/>
      <w:r w:rsidRPr="007862AE">
        <w:rPr>
          <w:rFonts w:ascii="Roboto" w:eastAsia="Roboto" w:hAnsi="Roboto" w:cs="Roboto"/>
          <w:sz w:val="20"/>
          <w:szCs w:val="20"/>
        </w:rPr>
        <w:t>Bioethics</w:t>
      </w:r>
      <w:proofErr w:type="spellEnd"/>
      <w:r w:rsidRPr="007862AE">
        <w:rPr>
          <w:rFonts w:ascii="Roboto" w:eastAsia="Roboto" w:hAnsi="Roboto" w:cs="Roboto"/>
          <w:sz w:val="20"/>
          <w:szCs w:val="20"/>
        </w:rPr>
        <w:t xml:space="preserve">, 33(2), 216–222. </w:t>
      </w:r>
      <w:hyperlink r:id="rId15" w:history="1">
        <w:r w:rsidRPr="007862AE">
          <w:rPr>
            <w:rStyle w:val="Hipervnculo"/>
            <w:rFonts w:ascii="Roboto" w:eastAsia="Roboto" w:hAnsi="Roboto" w:cs="Roboto"/>
            <w:sz w:val="20"/>
            <w:szCs w:val="20"/>
          </w:rPr>
          <w:t>https://doi.org/10.1111/bioe.12599</w:t>
        </w:r>
      </w:hyperlink>
      <w:r w:rsidRPr="007862AE">
        <w:rPr>
          <w:rFonts w:ascii="Roboto" w:eastAsia="Roboto" w:hAnsi="Roboto" w:cs="Roboto"/>
          <w:sz w:val="20"/>
          <w:szCs w:val="20"/>
        </w:rPr>
        <w:t xml:space="preserve"> </w:t>
      </w:r>
    </w:p>
    <w:p w14:paraId="4A733AE7" w14:textId="77777777" w:rsidR="0099607F" w:rsidRPr="0099607F" w:rsidRDefault="0099607F" w:rsidP="0099607F">
      <w:pPr>
        <w:pStyle w:val="Prrafodelista"/>
        <w:numPr>
          <w:ilvl w:val="0"/>
          <w:numId w:val="1"/>
        </w:numPr>
        <w:jc w:val="both"/>
        <w:rPr>
          <w:rFonts w:ascii="Roboto" w:eastAsia="Roboto" w:hAnsi="Roboto" w:cs="Roboto"/>
          <w:sz w:val="20"/>
          <w:szCs w:val="20"/>
        </w:rPr>
      </w:pPr>
      <w:r w:rsidRPr="0099607F">
        <w:rPr>
          <w:rFonts w:ascii="Roboto" w:eastAsia="Roboto" w:hAnsi="Roboto" w:cs="Roboto"/>
          <w:sz w:val="20"/>
          <w:szCs w:val="20"/>
        </w:rPr>
        <w:t xml:space="preserve">Johnson, R. M., </w:t>
      </w:r>
      <w:proofErr w:type="spellStart"/>
      <w:r w:rsidRPr="0099607F">
        <w:rPr>
          <w:rFonts w:ascii="Roboto" w:eastAsia="Roboto" w:hAnsi="Roboto" w:cs="Roboto"/>
          <w:sz w:val="20"/>
          <w:szCs w:val="20"/>
        </w:rPr>
        <w:t>Lohse</w:t>
      </w:r>
      <w:proofErr w:type="spellEnd"/>
      <w:r w:rsidRPr="0099607F">
        <w:rPr>
          <w:rFonts w:ascii="Roboto" w:eastAsia="Roboto" w:hAnsi="Roboto" w:cs="Roboto"/>
          <w:sz w:val="20"/>
          <w:szCs w:val="20"/>
        </w:rPr>
        <w:t xml:space="preserve">, C. M., </w:t>
      </w:r>
      <w:proofErr w:type="spellStart"/>
      <w:r w:rsidRPr="0099607F">
        <w:rPr>
          <w:rFonts w:ascii="Roboto" w:eastAsia="Roboto" w:hAnsi="Roboto" w:cs="Roboto"/>
          <w:sz w:val="20"/>
          <w:szCs w:val="20"/>
        </w:rPr>
        <w:t>Zins</w:t>
      </w:r>
      <w:proofErr w:type="spellEnd"/>
      <w:r w:rsidRPr="0099607F">
        <w:rPr>
          <w:rFonts w:ascii="Roboto" w:eastAsia="Roboto" w:hAnsi="Roboto" w:cs="Roboto"/>
          <w:sz w:val="20"/>
          <w:szCs w:val="20"/>
        </w:rPr>
        <w:t xml:space="preserve">, J. E., &amp; </w:t>
      </w:r>
      <w:proofErr w:type="spellStart"/>
      <w:r w:rsidRPr="0099607F">
        <w:rPr>
          <w:rFonts w:ascii="Roboto" w:eastAsia="Roboto" w:hAnsi="Roboto" w:cs="Roboto"/>
          <w:sz w:val="20"/>
          <w:szCs w:val="20"/>
        </w:rPr>
        <w:t>Siemionow</w:t>
      </w:r>
      <w:proofErr w:type="spellEnd"/>
      <w:r w:rsidRPr="0099607F">
        <w:rPr>
          <w:rFonts w:ascii="Roboto" w:eastAsia="Roboto" w:hAnsi="Roboto" w:cs="Roboto"/>
          <w:sz w:val="20"/>
          <w:szCs w:val="20"/>
        </w:rPr>
        <w:t>, M. (2018). Five-</w:t>
      </w:r>
      <w:proofErr w:type="spellStart"/>
      <w:r w:rsidRPr="0099607F">
        <w:rPr>
          <w:rFonts w:ascii="Roboto" w:eastAsia="Roboto" w:hAnsi="Roboto" w:cs="Roboto"/>
          <w:sz w:val="20"/>
          <w:szCs w:val="20"/>
        </w:rPr>
        <w:t>year</w:t>
      </w:r>
      <w:proofErr w:type="spellEnd"/>
      <w:r w:rsidRPr="0099607F">
        <w:rPr>
          <w:rFonts w:ascii="Roboto" w:eastAsia="Roboto" w:hAnsi="Roboto" w:cs="Roboto"/>
          <w:sz w:val="20"/>
          <w:szCs w:val="20"/>
        </w:rPr>
        <w:t xml:space="preserve"> </w:t>
      </w:r>
      <w:proofErr w:type="spellStart"/>
      <w:r w:rsidRPr="0099607F">
        <w:rPr>
          <w:rFonts w:ascii="Roboto" w:eastAsia="Roboto" w:hAnsi="Roboto" w:cs="Roboto"/>
          <w:sz w:val="20"/>
          <w:szCs w:val="20"/>
        </w:rPr>
        <w:t>outcomes</w:t>
      </w:r>
      <w:proofErr w:type="spellEnd"/>
      <w:r w:rsidRPr="0099607F">
        <w:rPr>
          <w:rFonts w:ascii="Roboto" w:eastAsia="Roboto" w:hAnsi="Roboto" w:cs="Roboto"/>
          <w:sz w:val="20"/>
          <w:szCs w:val="20"/>
        </w:rPr>
        <w:t xml:space="preserve"> after facial </w:t>
      </w:r>
      <w:proofErr w:type="spellStart"/>
      <w:r w:rsidRPr="0099607F">
        <w:rPr>
          <w:rFonts w:ascii="Roboto" w:eastAsia="Roboto" w:hAnsi="Roboto" w:cs="Roboto"/>
          <w:sz w:val="20"/>
          <w:szCs w:val="20"/>
        </w:rPr>
        <w:t>transplantation</w:t>
      </w:r>
      <w:proofErr w:type="spellEnd"/>
      <w:r w:rsidRPr="0099607F">
        <w:rPr>
          <w:rFonts w:ascii="Roboto" w:eastAsia="Roboto" w:hAnsi="Roboto" w:cs="Roboto"/>
          <w:sz w:val="20"/>
          <w:szCs w:val="20"/>
        </w:rPr>
        <w:t xml:space="preserve">. American </w:t>
      </w:r>
      <w:proofErr w:type="spellStart"/>
      <w:r w:rsidRPr="0099607F">
        <w:rPr>
          <w:rFonts w:ascii="Roboto" w:eastAsia="Roboto" w:hAnsi="Roboto" w:cs="Roboto"/>
          <w:sz w:val="20"/>
          <w:szCs w:val="20"/>
        </w:rPr>
        <w:t>Journal</w:t>
      </w:r>
      <w:proofErr w:type="spellEnd"/>
      <w:r w:rsidRPr="0099607F">
        <w:rPr>
          <w:rFonts w:ascii="Roboto" w:eastAsia="Roboto" w:hAnsi="Roboto" w:cs="Roboto"/>
          <w:sz w:val="20"/>
          <w:szCs w:val="20"/>
        </w:rPr>
        <w:t xml:space="preserve"> </w:t>
      </w:r>
      <w:proofErr w:type="spellStart"/>
      <w:r w:rsidRPr="0099607F">
        <w:rPr>
          <w:rFonts w:ascii="Roboto" w:eastAsia="Roboto" w:hAnsi="Roboto" w:cs="Roboto"/>
          <w:sz w:val="20"/>
          <w:szCs w:val="20"/>
        </w:rPr>
        <w:t>of</w:t>
      </w:r>
      <w:proofErr w:type="spellEnd"/>
      <w:r w:rsidRPr="0099607F">
        <w:rPr>
          <w:rFonts w:ascii="Roboto" w:eastAsia="Roboto" w:hAnsi="Roboto" w:cs="Roboto"/>
          <w:sz w:val="20"/>
          <w:szCs w:val="20"/>
        </w:rPr>
        <w:t xml:space="preserve"> </w:t>
      </w:r>
      <w:proofErr w:type="spellStart"/>
      <w:r w:rsidRPr="0099607F">
        <w:rPr>
          <w:rFonts w:ascii="Roboto" w:eastAsia="Roboto" w:hAnsi="Roboto" w:cs="Roboto"/>
          <w:sz w:val="20"/>
          <w:szCs w:val="20"/>
        </w:rPr>
        <w:t>Transplantation</w:t>
      </w:r>
      <w:proofErr w:type="spellEnd"/>
      <w:r w:rsidRPr="0099607F">
        <w:rPr>
          <w:rFonts w:ascii="Roboto" w:eastAsia="Roboto" w:hAnsi="Roboto" w:cs="Roboto"/>
          <w:sz w:val="20"/>
          <w:szCs w:val="20"/>
        </w:rPr>
        <w:t>, 18(10), 2473–2482.</w:t>
      </w:r>
    </w:p>
    <w:p w14:paraId="03268AF0" w14:textId="21DFF639" w:rsidR="0099607F" w:rsidRPr="009318DF" w:rsidRDefault="0099607F" w:rsidP="00ED71AD">
      <w:pPr>
        <w:pStyle w:val="Prrafodelista"/>
        <w:numPr>
          <w:ilvl w:val="0"/>
          <w:numId w:val="1"/>
        </w:numPr>
        <w:jc w:val="both"/>
        <w:rPr>
          <w:rFonts w:ascii="Roboto" w:eastAsia="Roboto" w:hAnsi="Roboto" w:cs="Roboto"/>
          <w:sz w:val="20"/>
          <w:szCs w:val="20"/>
        </w:rPr>
      </w:pPr>
      <w:proofErr w:type="spellStart"/>
      <w:r w:rsidRPr="009318DF">
        <w:rPr>
          <w:rFonts w:ascii="Roboto" w:eastAsia="Roboto" w:hAnsi="Roboto" w:cs="Roboto"/>
          <w:sz w:val="20"/>
          <w:szCs w:val="20"/>
        </w:rPr>
        <w:t>Navigante</w:t>
      </w:r>
      <w:proofErr w:type="spellEnd"/>
      <w:r w:rsidRPr="009318DF">
        <w:rPr>
          <w:rFonts w:ascii="Roboto" w:eastAsia="Roboto" w:hAnsi="Roboto" w:cs="Roboto"/>
          <w:sz w:val="20"/>
          <w:szCs w:val="20"/>
        </w:rPr>
        <w:t xml:space="preserve">, A. H., </w:t>
      </w:r>
      <w:proofErr w:type="spellStart"/>
      <w:r w:rsidRPr="009318DF">
        <w:rPr>
          <w:rFonts w:ascii="Roboto" w:eastAsia="Roboto" w:hAnsi="Roboto" w:cs="Roboto"/>
          <w:sz w:val="20"/>
          <w:szCs w:val="20"/>
        </w:rPr>
        <w:t>Pierobon</w:t>
      </w:r>
      <w:proofErr w:type="spellEnd"/>
      <w:r w:rsidRPr="009318DF">
        <w:rPr>
          <w:rFonts w:ascii="Roboto" w:eastAsia="Roboto" w:hAnsi="Roboto" w:cs="Roboto"/>
          <w:sz w:val="20"/>
          <w:szCs w:val="20"/>
        </w:rPr>
        <w:t xml:space="preserve">, M., &amp; </w:t>
      </w:r>
      <w:proofErr w:type="spellStart"/>
      <w:r w:rsidRPr="009318DF">
        <w:rPr>
          <w:rFonts w:ascii="Roboto" w:eastAsia="Roboto" w:hAnsi="Roboto" w:cs="Roboto"/>
          <w:sz w:val="20"/>
          <w:szCs w:val="20"/>
        </w:rPr>
        <w:t>Buss</w:t>
      </w:r>
      <w:proofErr w:type="spellEnd"/>
      <w:r w:rsidRPr="009318DF">
        <w:rPr>
          <w:rFonts w:ascii="Roboto" w:eastAsia="Roboto" w:hAnsi="Roboto" w:cs="Roboto"/>
          <w:sz w:val="20"/>
          <w:szCs w:val="20"/>
        </w:rPr>
        <w:t xml:space="preserve">, P. (2021). </w:t>
      </w:r>
      <w:proofErr w:type="spellStart"/>
      <w:r w:rsidRPr="009318DF">
        <w:rPr>
          <w:rFonts w:ascii="Roboto" w:eastAsia="Roboto" w:hAnsi="Roboto" w:cs="Roboto"/>
          <w:sz w:val="20"/>
          <w:szCs w:val="20"/>
        </w:rPr>
        <w:t>Informed</w:t>
      </w:r>
      <w:proofErr w:type="spellEnd"/>
      <w:r w:rsidRPr="009318DF">
        <w:rPr>
          <w:rFonts w:ascii="Roboto" w:eastAsia="Roboto" w:hAnsi="Roboto" w:cs="Roboto"/>
          <w:sz w:val="20"/>
          <w:szCs w:val="20"/>
        </w:rPr>
        <w:t xml:space="preserve"> </w:t>
      </w:r>
      <w:proofErr w:type="spellStart"/>
      <w:r w:rsidRPr="009318DF">
        <w:rPr>
          <w:rFonts w:ascii="Roboto" w:eastAsia="Roboto" w:hAnsi="Roboto" w:cs="Roboto"/>
          <w:sz w:val="20"/>
          <w:szCs w:val="20"/>
        </w:rPr>
        <w:t>consent</w:t>
      </w:r>
      <w:proofErr w:type="spellEnd"/>
      <w:r w:rsidRPr="009318DF">
        <w:rPr>
          <w:rFonts w:ascii="Roboto" w:eastAsia="Roboto" w:hAnsi="Roboto" w:cs="Roboto"/>
          <w:sz w:val="20"/>
          <w:szCs w:val="20"/>
        </w:rPr>
        <w:t xml:space="preserve"> in </w:t>
      </w:r>
      <w:proofErr w:type="spellStart"/>
      <w:r w:rsidRPr="009318DF">
        <w:rPr>
          <w:rFonts w:ascii="Roboto" w:eastAsia="Roboto" w:hAnsi="Roboto" w:cs="Roboto"/>
          <w:sz w:val="20"/>
          <w:szCs w:val="20"/>
        </w:rPr>
        <w:t>organ</w:t>
      </w:r>
      <w:proofErr w:type="spellEnd"/>
      <w:r w:rsidRPr="009318DF">
        <w:rPr>
          <w:rFonts w:ascii="Roboto" w:eastAsia="Roboto" w:hAnsi="Roboto" w:cs="Roboto"/>
          <w:sz w:val="20"/>
          <w:szCs w:val="20"/>
        </w:rPr>
        <w:t xml:space="preserve"> </w:t>
      </w:r>
      <w:proofErr w:type="spellStart"/>
      <w:r w:rsidRPr="009318DF">
        <w:rPr>
          <w:rFonts w:ascii="Roboto" w:eastAsia="Roboto" w:hAnsi="Roboto" w:cs="Roboto"/>
          <w:sz w:val="20"/>
          <w:szCs w:val="20"/>
        </w:rPr>
        <w:t>donation</w:t>
      </w:r>
      <w:proofErr w:type="spellEnd"/>
      <w:r w:rsidRPr="009318DF">
        <w:rPr>
          <w:rFonts w:ascii="Roboto" w:eastAsia="Roboto" w:hAnsi="Roboto" w:cs="Roboto"/>
          <w:sz w:val="20"/>
          <w:szCs w:val="20"/>
        </w:rPr>
        <w:t xml:space="preserve"> and </w:t>
      </w:r>
      <w:proofErr w:type="spellStart"/>
      <w:r w:rsidRPr="009318DF">
        <w:rPr>
          <w:rFonts w:ascii="Roboto" w:eastAsia="Roboto" w:hAnsi="Roboto" w:cs="Roboto"/>
          <w:sz w:val="20"/>
          <w:szCs w:val="20"/>
        </w:rPr>
        <w:t>transplantation</w:t>
      </w:r>
      <w:proofErr w:type="spellEnd"/>
      <w:r w:rsidRPr="009318DF">
        <w:rPr>
          <w:rFonts w:ascii="Roboto" w:eastAsia="Roboto" w:hAnsi="Roboto" w:cs="Roboto"/>
          <w:sz w:val="20"/>
          <w:szCs w:val="20"/>
        </w:rPr>
        <w:t xml:space="preserve">. </w:t>
      </w:r>
      <w:proofErr w:type="spellStart"/>
      <w:r w:rsidRPr="009318DF">
        <w:rPr>
          <w:rFonts w:ascii="Roboto" w:eastAsia="Roboto" w:hAnsi="Roboto" w:cs="Roboto"/>
          <w:sz w:val="20"/>
          <w:szCs w:val="20"/>
        </w:rPr>
        <w:t>Transplantation</w:t>
      </w:r>
      <w:proofErr w:type="spellEnd"/>
      <w:r w:rsidRPr="009318DF">
        <w:rPr>
          <w:rFonts w:ascii="Roboto" w:eastAsia="Roboto" w:hAnsi="Roboto" w:cs="Roboto"/>
          <w:sz w:val="20"/>
          <w:szCs w:val="20"/>
        </w:rPr>
        <w:t>, 105(8), e113–e124.</w:t>
      </w:r>
    </w:p>
    <w:p w14:paraId="167F7B18" w14:textId="235FE8FB" w:rsidR="0099607F" w:rsidRPr="009318DF" w:rsidRDefault="0099607F" w:rsidP="006A061A">
      <w:pPr>
        <w:pStyle w:val="Prrafodelista"/>
        <w:numPr>
          <w:ilvl w:val="0"/>
          <w:numId w:val="1"/>
        </w:numPr>
        <w:jc w:val="both"/>
        <w:rPr>
          <w:rFonts w:ascii="Roboto" w:eastAsia="Roboto" w:hAnsi="Roboto" w:cs="Roboto"/>
          <w:sz w:val="20"/>
          <w:szCs w:val="20"/>
        </w:rPr>
      </w:pPr>
      <w:proofErr w:type="spellStart"/>
      <w:r w:rsidRPr="009318DF">
        <w:rPr>
          <w:rFonts w:ascii="Roboto" w:eastAsia="Roboto" w:hAnsi="Roboto" w:cs="Roboto"/>
          <w:sz w:val="20"/>
          <w:szCs w:val="20"/>
        </w:rPr>
        <w:t>Furr</w:t>
      </w:r>
      <w:proofErr w:type="spellEnd"/>
      <w:r w:rsidRPr="009318DF">
        <w:rPr>
          <w:rFonts w:ascii="Roboto" w:eastAsia="Roboto" w:hAnsi="Roboto" w:cs="Roboto"/>
          <w:sz w:val="20"/>
          <w:szCs w:val="20"/>
        </w:rPr>
        <w:t xml:space="preserve">, A. K., &amp; </w:t>
      </w:r>
      <w:proofErr w:type="spellStart"/>
      <w:r w:rsidRPr="009318DF">
        <w:rPr>
          <w:rFonts w:ascii="Roboto" w:eastAsia="Roboto" w:hAnsi="Roboto" w:cs="Roboto"/>
          <w:sz w:val="20"/>
          <w:szCs w:val="20"/>
        </w:rPr>
        <w:t>Siemionow</w:t>
      </w:r>
      <w:proofErr w:type="spellEnd"/>
      <w:r w:rsidRPr="009318DF">
        <w:rPr>
          <w:rFonts w:ascii="Roboto" w:eastAsia="Roboto" w:hAnsi="Roboto" w:cs="Roboto"/>
          <w:sz w:val="20"/>
          <w:szCs w:val="20"/>
        </w:rPr>
        <w:t xml:space="preserve">, M. (2021). </w:t>
      </w:r>
      <w:proofErr w:type="spellStart"/>
      <w:r w:rsidRPr="009318DF">
        <w:rPr>
          <w:rFonts w:ascii="Roboto" w:eastAsia="Roboto" w:hAnsi="Roboto" w:cs="Roboto"/>
          <w:sz w:val="20"/>
          <w:szCs w:val="20"/>
        </w:rPr>
        <w:t>Psychological</w:t>
      </w:r>
      <w:proofErr w:type="spellEnd"/>
      <w:r w:rsidRPr="009318DF">
        <w:rPr>
          <w:rFonts w:ascii="Roboto" w:eastAsia="Roboto" w:hAnsi="Roboto" w:cs="Roboto"/>
          <w:sz w:val="20"/>
          <w:szCs w:val="20"/>
        </w:rPr>
        <w:t xml:space="preserve"> and </w:t>
      </w:r>
      <w:proofErr w:type="spellStart"/>
      <w:r w:rsidRPr="009318DF">
        <w:rPr>
          <w:rFonts w:ascii="Roboto" w:eastAsia="Roboto" w:hAnsi="Roboto" w:cs="Roboto"/>
          <w:sz w:val="20"/>
          <w:szCs w:val="20"/>
        </w:rPr>
        <w:t>psychiatric</w:t>
      </w:r>
      <w:proofErr w:type="spellEnd"/>
      <w:r w:rsidRPr="009318DF">
        <w:rPr>
          <w:rFonts w:ascii="Roboto" w:eastAsia="Roboto" w:hAnsi="Roboto" w:cs="Roboto"/>
          <w:sz w:val="20"/>
          <w:szCs w:val="20"/>
        </w:rPr>
        <w:t xml:space="preserve"> </w:t>
      </w:r>
      <w:proofErr w:type="spellStart"/>
      <w:r w:rsidRPr="009318DF">
        <w:rPr>
          <w:rFonts w:ascii="Roboto" w:eastAsia="Roboto" w:hAnsi="Roboto" w:cs="Roboto"/>
          <w:sz w:val="20"/>
          <w:szCs w:val="20"/>
        </w:rPr>
        <w:t>considerations</w:t>
      </w:r>
      <w:proofErr w:type="spellEnd"/>
      <w:r w:rsidRPr="009318DF">
        <w:rPr>
          <w:rFonts w:ascii="Roboto" w:eastAsia="Roboto" w:hAnsi="Roboto" w:cs="Roboto"/>
          <w:sz w:val="20"/>
          <w:szCs w:val="20"/>
        </w:rPr>
        <w:t xml:space="preserve"> in facial </w:t>
      </w:r>
      <w:proofErr w:type="spellStart"/>
      <w:r w:rsidRPr="009318DF">
        <w:rPr>
          <w:rFonts w:ascii="Roboto" w:eastAsia="Roboto" w:hAnsi="Roboto" w:cs="Roboto"/>
          <w:sz w:val="20"/>
          <w:szCs w:val="20"/>
        </w:rPr>
        <w:t>transplantation</w:t>
      </w:r>
      <w:proofErr w:type="spellEnd"/>
      <w:r w:rsidRPr="009318DF">
        <w:rPr>
          <w:rFonts w:ascii="Roboto" w:eastAsia="Roboto" w:hAnsi="Roboto" w:cs="Roboto"/>
          <w:sz w:val="20"/>
          <w:szCs w:val="20"/>
        </w:rPr>
        <w:t xml:space="preserve">. </w:t>
      </w:r>
      <w:proofErr w:type="spellStart"/>
      <w:r w:rsidRPr="009318DF">
        <w:rPr>
          <w:rFonts w:ascii="Roboto" w:eastAsia="Roboto" w:hAnsi="Roboto" w:cs="Roboto"/>
          <w:sz w:val="20"/>
          <w:szCs w:val="20"/>
        </w:rPr>
        <w:t>Plastic</w:t>
      </w:r>
      <w:proofErr w:type="spellEnd"/>
      <w:r w:rsidRPr="009318DF">
        <w:rPr>
          <w:rFonts w:ascii="Roboto" w:eastAsia="Roboto" w:hAnsi="Roboto" w:cs="Roboto"/>
          <w:sz w:val="20"/>
          <w:szCs w:val="20"/>
        </w:rPr>
        <w:t xml:space="preserve"> and Reconstructive </w:t>
      </w:r>
      <w:proofErr w:type="spellStart"/>
      <w:r w:rsidRPr="009318DF">
        <w:rPr>
          <w:rFonts w:ascii="Roboto" w:eastAsia="Roboto" w:hAnsi="Roboto" w:cs="Roboto"/>
          <w:sz w:val="20"/>
          <w:szCs w:val="20"/>
        </w:rPr>
        <w:t>Surgery</w:t>
      </w:r>
      <w:proofErr w:type="spellEnd"/>
      <w:r w:rsidRPr="009318DF">
        <w:rPr>
          <w:rFonts w:ascii="Roboto" w:eastAsia="Roboto" w:hAnsi="Roboto" w:cs="Roboto"/>
          <w:sz w:val="20"/>
          <w:szCs w:val="20"/>
        </w:rPr>
        <w:t>, 147(1), 225–232.</w:t>
      </w:r>
    </w:p>
    <w:p w14:paraId="67B5C444" w14:textId="793D1C86" w:rsidR="0099607F" w:rsidRPr="009318DF" w:rsidRDefault="0099607F" w:rsidP="003B551F">
      <w:pPr>
        <w:pStyle w:val="Prrafodelista"/>
        <w:numPr>
          <w:ilvl w:val="0"/>
          <w:numId w:val="1"/>
        </w:numPr>
        <w:jc w:val="both"/>
        <w:rPr>
          <w:rFonts w:ascii="Roboto" w:eastAsia="Roboto" w:hAnsi="Roboto" w:cs="Roboto"/>
          <w:sz w:val="20"/>
          <w:szCs w:val="20"/>
        </w:rPr>
      </w:pPr>
      <w:proofErr w:type="spellStart"/>
      <w:r w:rsidRPr="009318DF">
        <w:rPr>
          <w:rFonts w:ascii="Roboto" w:eastAsia="Roboto" w:hAnsi="Roboto" w:cs="Roboto"/>
          <w:sz w:val="20"/>
          <w:szCs w:val="20"/>
        </w:rPr>
        <w:t>Novitzky</w:t>
      </w:r>
      <w:proofErr w:type="spellEnd"/>
      <w:r w:rsidRPr="009318DF">
        <w:rPr>
          <w:rFonts w:ascii="Roboto" w:eastAsia="Roboto" w:hAnsi="Roboto" w:cs="Roboto"/>
          <w:sz w:val="20"/>
          <w:szCs w:val="20"/>
        </w:rPr>
        <w:t xml:space="preserve">, D., O’Brien, T. S., Adams, P., &amp; Kahn, D. (2018). Facial </w:t>
      </w:r>
      <w:proofErr w:type="spellStart"/>
      <w:r w:rsidRPr="009318DF">
        <w:rPr>
          <w:rFonts w:ascii="Roboto" w:eastAsia="Roboto" w:hAnsi="Roboto" w:cs="Roboto"/>
          <w:sz w:val="20"/>
          <w:szCs w:val="20"/>
        </w:rPr>
        <w:t>transplantation</w:t>
      </w:r>
      <w:proofErr w:type="spellEnd"/>
      <w:r w:rsidRPr="009318DF">
        <w:rPr>
          <w:rFonts w:ascii="Roboto" w:eastAsia="Roboto" w:hAnsi="Roboto" w:cs="Roboto"/>
          <w:sz w:val="20"/>
          <w:szCs w:val="20"/>
        </w:rPr>
        <w:t xml:space="preserve"> and </w:t>
      </w:r>
      <w:proofErr w:type="spellStart"/>
      <w:r w:rsidRPr="009318DF">
        <w:rPr>
          <w:rFonts w:ascii="Roboto" w:eastAsia="Roboto" w:hAnsi="Roboto" w:cs="Roboto"/>
          <w:sz w:val="20"/>
          <w:szCs w:val="20"/>
        </w:rPr>
        <w:t>the</w:t>
      </w:r>
      <w:proofErr w:type="spellEnd"/>
      <w:r w:rsidRPr="009318DF">
        <w:rPr>
          <w:rFonts w:ascii="Roboto" w:eastAsia="Roboto" w:hAnsi="Roboto" w:cs="Roboto"/>
          <w:sz w:val="20"/>
          <w:szCs w:val="20"/>
        </w:rPr>
        <w:t xml:space="preserve"> </w:t>
      </w:r>
      <w:proofErr w:type="spellStart"/>
      <w:r w:rsidRPr="009318DF">
        <w:rPr>
          <w:rFonts w:ascii="Roboto" w:eastAsia="Roboto" w:hAnsi="Roboto" w:cs="Roboto"/>
          <w:sz w:val="20"/>
          <w:szCs w:val="20"/>
        </w:rPr>
        <w:t>ethics</w:t>
      </w:r>
      <w:proofErr w:type="spellEnd"/>
      <w:r w:rsidRPr="009318DF">
        <w:rPr>
          <w:rFonts w:ascii="Roboto" w:eastAsia="Roboto" w:hAnsi="Roboto" w:cs="Roboto"/>
          <w:sz w:val="20"/>
          <w:szCs w:val="20"/>
        </w:rPr>
        <w:t xml:space="preserve"> </w:t>
      </w:r>
      <w:proofErr w:type="spellStart"/>
      <w:r w:rsidRPr="009318DF">
        <w:rPr>
          <w:rFonts w:ascii="Roboto" w:eastAsia="Roboto" w:hAnsi="Roboto" w:cs="Roboto"/>
          <w:sz w:val="20"/>
          <w:szCs w:val="20"/>
        </w:rPr>
        <w:t>of</w:t>
      </w:r>
      <w:proofErr w:type="spellEnd"/>
      <w:r w:rsidRPr="009318DF">
        <w:rPr>
          <w:rFonts w:ascii="Roboto" w:eastAsia="Roboto" w:hAnsi="Roboto" w:cs="Roboto"/>
          <w:sz w:val="20"/>
          <w:szCs w:val="20"/>
        </w:rPr>
        <w:t xml:space="preserve"> </w:t>
      </w:r>
      <w:proofErr w:type="spellStart"/>
      <w:r w:rsidRPr="009318DF">
        <w:rPr>
          <w:rFonts w:ascii="Roboto" w:eastAsia="Roboto" w:hAnsi="Roboto" w:cs="Roboto"/>
          <w:sz w:val="20"/>
          <w:szCs w:val="20"/>
        </w:rPr>
        <w:t>identity</w:t>
      </w:r>
      <w:proofErr w:type="spellEnd"/>
      <w:r w:rsidRPr="009318DF">
        <w:rPr>
          <w:rFonts w:ascii="Roboto" w:eastAsia="Roboto" w:hAnsi="Roboto" w:cs="Roboto"/>
          <w:sz w:val="20"/>
          <w:szCs w:val="20"/>
        </w:rPr>
        <w:t xml:space="preserve">. AMA </w:t>
      </w:r>
      <w:proofErr w:type="spellStart"/>
      <w:r w:rsidRPr="009318DF">
        <w:rPr>
          <w:rFonts w:ascii="Roboto" w:eastAsia="Roboto" w:hAnsi="Roboto" w:cs="Roboto"/>
          <w:sz w:val="20"/>
          <w:szCs w:val="20"/>
        </w:rPr>
        <w:t>Journal</w:t>
      </w:r>
      <w:proofErr w:type="spellEnd"/>
      <w:r w:rsidRPr="009318DF">
        <w:rPr>
          <w:rFonts w:ascii="Roboto" w:eastAsia="Roboto" w:hAnsi="Roboto" w:cs="Roboto"/>
          <w:sz w:val="20"/>
          <w:szCs w:val="20"/>
        </w:rPr>
        <w:t xml:space="preserve"> </w:t>
      </w:r>
      <w:proofErr w:type="spellStart"/>
      <w:r w:rsidRPr="009318DF">
        <w:rPr>
          <w:rFonts w:ascii="Roboto" w:eastAsia="Roboto" w:hAnsi="Roboto" w:cs="Roboto"/>
          <w:sz w:val="20"/>
          <w:szCs w:val="20"/>
        </w:rPr>
        <w:t>of</w:t>
      </w:r>
      <w:proofErr w:type="spellEnd"/>
      <w:r w:rsidRPr="009318DF">
        <w:rPr>
          <w:rFonts w:ascii="Roboto" w:eastAsia="Roboto" w:hAnsi="Roboto" w:cs="Roboto"/>
          <w:sz w:val="20"/>
          <w:szCs w:val="20"/>
        </w:rPr>
        <w:t xml:space="preserve"> </w:t>
      </w:r>
      <w:proofErr w:type="spellStart"/>
      <w:r w:rsidRPr="009318DF">
        <w:rPr>
          <w:rFonts w:ascii="Roboto" w:eastAsia="Roboto" w:hAnsi="Roboto" w:cs="Roboto"/>
          <w:sz w:val="20"/>
          <w:szCs w:val="20"/>
        </w:rPr>
        <w:t>Ethics</w:t>
      </w:r>
      <w:proofErr w:type="spellEnd"/>
      <w:r w:rsidRPr="009318DF">
        <w:rPr>
          <w:rFonts w:ascii="Roboto" w:eastAsia="Roboto" w:hAnsi="Roboto" w:cs="Roboto"/>
          <w:sz w:val="20"/>
          <w:szCs w:val="20"/>
        </w:rPr>
        <w:t>, 20(2), 171–179.</w:t>
      </w:r>
    </w:p>
    <w:p w14:paraId="3C470B10" w14:textId="59E18ED8" w:rsidR="0099607F" w:rsidRPr="009318DF" w:rsidRDefault="0099607F" w:rsidP="00220D76">
      <w:pPr>
        <w:pStyle w:val="Prrafodelista"/>
        <w:numPr>
          <w:ilvl w:val="0"/>
          <w:numId w:val="1"/>
        </w:numPr>
        <w:jc w:val="both"/>
        <w:rPr>
          <w:rFonts w:ascii="Roboto" w:eastAsia="Roboto" w:hAnsi="Roboto" w:cs="Roboto"/>
          <w:sz w:val="20"/>
          <w:szCs w:val="20"/>
        </w:rPr>
      </w:pPr>
      <w:proofErr w:type="spellStart"/>
      <w:r w:rsidRPr="009318DF">
        <w:rPr>
          <w:rFonts w:ascii="Roboto" w:eastAsia="Roboto" w:hAnsi="Roboto" w:cs="Roboto"/>
          <w:sz w:val="20"/>
          <w:szCs w:val="20"/>
        </w:rPr>
        <w:t>Pascalev</w:t>
      </w:r>
      <w:proofErr w:type="spellEnd"/>
      <w:r w:rsidRPr="009318DF">
        <w:rPr>
          <w:rFonts w:ascii="Roboto" w:eastAsia="Roboto" w:hAnsi="Roboto" w:cs="Roboto"/>
          <w:sz w:val="20"/>
          <w:szCs w:val="20"/>
        </w:rPr>
        <w:t xml:space="preserve">, A., &amp; </w:t>
      </w:r>
      <w:proofErr w:type="spellStart"/>
      <w:r w:rsidRPr="009318DF">
        <w:rPr>
          <w:rFonts w:ascii="Roboto" w:eastAsia="Roboto" w:hAnsi="Roboto" w:cs="Roboto"/>
          <w:sz w:val="20"/>
          <w:szCs w:val="20"/>
        </w:rPr>
        <w:t>Georgieva</w:t>
      </w:r>
      <w:proofErr w:type="spellEnd"/>
      <w:r w:rsidRPr="009318DF">
        <w:rPr>
          <w:rFonts w:ascii="Roboto" w:eastAsia="Roboto" w:hAnsi="Roboto" w:cs="Roboto"/>
          <w:sz w:val="20"/>
          <w:szCs w:val="20"/>
        </w:rPr>
        <w:t xml:space="preserve">, M. (2020). </w:t>
      </w:r>
      <w:proofErr w:type="spellStart"/>
      <w:r w:rsidRPr="009318DF">
        <w:rPr>
          <w:rFonts w:ascii="Roboto" w:eastAsia="Roboto" w:hAnsi="Roboto" w:cs="Roboto"/>
          <w:sz w:val="20"/>
          <w:szCs w:val="20"/>
        </w:rPr>
        <w:t>Ethical</w:t>
      </w:r>
      <w:proofErr w:type="spellEnd"/>
      <w:r w:rsidRPr="009318DF">
        <w:rPr>
          <w:rFonts w:ascii="Roboto" w:eastAsia="Roboto" w:hAnsi="Roboto" w:cs="Roboto"/>
          <w:sz w:val="20"/>
          <w:szCs w:val="20"/>
        </w:rPr>
        <w:t xml:space="preserve"> and </w:t>
      </w:r>
      <w:proofErr w:type="spellStart"/>
      <w:r w:rsidRPr="009318DF">
        <w:rPr>
          <w:rFonts w:ascii="Roboto" w:eastAsia="Roboto" w:hAnsi="Roboto" w:cs="Roboto"/>
          <w:sz w:val="20"/>
          <w:szCs w:val="20"/>
        </w:rPr>
        <w:t>psychological</w:t>
      </w:r>
      <w:proofErr w:type="spellEnd"/>
      <w:r w:rsidRPr="009318DF">
        <w:rPr>
          <w:rFonts w:ascii="Roboto" w:eastAsia="Roboto" w:hAnsi="Roboto" w:cs="Roboto"/>
          <w:sz w:val="20"/>
          <w:szCs w:val="20"/>
        </w:rPr>
        <w:t xml:space="preserve"> </w:t>
      </w:r>
      <w:proofErr w:type="spellStart"/>
      <w:r w:rsidRPr="009318DF">
        <w:rPr>
          <w:rFonts w:ascii="Roboto" w:eastAsia="Roboto" w:hAnsi="Roboto" w:cs="Roboto"/>
          <w:sz w:val="20"/>
          <w:szCs w:val="20"/>
        </w:rPr>
        <w:t>issues</w:t>
      </w:r>
      <w:proofErr w:type="spellEnd"/>
      <w:r w:rsidRPr="009318DF">
        <w:rPr>
          <w:rFonts w:ascii="Roboto" w:eastAsia="Roboto" w:hAnsi="Roboto" w:cs="Roboto"/>
          <w:sz w:val="20"/>
          <w:szCs w:val="20"/>
        </w:rPr>
        <w:t xml:space="preserve"> in facial </w:t>
      </w:r>
      <w:proofErr w:type="spellStart"/>
      <w:r w:rsidRPr="009318DF">
        <w:rPr>
          <w:rFonts w:ascii="Roboto" w:eastAsia="Roboto" w:hAnsi="Roboto" w:cs="Roboto"/>
          <w:sz w:val="20"/>
          <w:szCs w:val="20"/>
        </w:rPr>
        <w:t>transplantation</w:t>
      </w:r>
      <w:proofErr w:type="spellEnd"/>
      <w:r w:rsidRPr="009318DF">
        <w:rPr>
          <w:rFonts w:ascii="Roboto" w:eastAsia="Roboto" w:hAnsi="Roboto" w:cs="Roboto"/>
          <w:sz w:val="20"/>
          <w:szCs w:val="20"/>
        </w:rPr>
        <w:t xml:space="preserve">. </w:t>
      </w:r>
      <w:proofErr w:type="spellStart"/>
      <w:r w:rsidRPr="009318DF">
        <w:rPr>
          <w:rFonts w:ascii="Roboto" w:eastAsia="Roboto" w:hAnsi="Roboto" w:cs="Roboto"/>
          <w:sz w:val="20"/>
          <w:szCs w:val="20"/>
        </w:rPr>
        <w:t>Annals</w:t>
      </w:r>
      <w:proofErr w:type="spellEnd"/>
      <w:r w:rsidRPr="009318DF">
        <w:rPr>
          <w:rFonts w:ascii="Roboto" w:eastAsia="Roboto" w:hAnsi="Roboto" w:cs="Roboto"/>
          <w:sz w:val="20"/>
          <w:szCs w:val="20"/>
        </w:rPr>
        <w:t xml:space="preserve"> </w:t>
      </w:r>
      <w:proofErr w:type="spellStart"/>
      <w:r w:rsidRPr="009318DF">
        <w:rPr>
          <w:rFonts w:ascii="Roboto" w:eastAsia="Roboto" w:hAnsi="Roboto" w:cs="Roboto"/>
          <w:sz w:val="20"/>
          <w:szCs w:val="20"/>
        </w:rPr>
        <w:t>of</w:t>
      </w:r>
      <w:proofErr w:type="spellEnd"/>
      <w:r w:rsidRPr="009318DF">
        <w:rPr>
          <w:rFonts w:ascii="Roboto" w:eastAsia="Roboto" w:hAnsi="Roboto" w:cs="Roboto"/>
          <w:sz w:val="20"/>
          <w:szCs w:val="20"/>
        </w:rPr>
        <w:t xml:space="preserve"> </w:t>
      </w:r>
      <w:proofErr w:type="spellStart"/>
      <w:r w:rsidRPr="009318DF">
        <w:rPr>
          <w:rFonts w:ascii="Roboto" w:eastAsia="Roboto" w:hAnsi="Roboto" w:cs="Roboto"/>
          <w:sz w:val="20"/>
          <w:szCs w:val="20"/>
        </w:rPr>
        <w:t>Transplantation</w:t>
      </w:r>
      <w:proofErr w:type="spellEnd"/>
      <w:r w:rsidRPr="009318DF">
        <w:rPr>
          <w:rFonts w:ascii="Roboto" w:eastAsia="Roboto" w:hAnsi="Roboto" w:cs="Roboto"/>
          <w:sz w:val="20"/>
          <w:szCs w:val="20"/>
        </w:rPr>
        <w:t>, 25, e920196-1–e920196-9.</w:t>
      </w:r>
    </w:p>
    <w:p w14:paraId="0361E828" w14:textId="4B1F2F6B" w:rsidR="00E50487" w:rsidRPr="0099607F" w:rsidRDefault="0099607F" w:rsidP="0099607F">
      <w:pPr>
        <w:pStyle w:val="Prrafodelista"/>
        <w:numPr>
          <w:ilvl w:val="0"/>
          <w:numId w:val="1"/>
        </w:numPr>
        <w:jc w:val="both"/>
        <w:rPr>
          <w:rFonts w:ascii="Roboto" w:eastAsia="Roboto" w:hAnsi="Roboto" w:cs="Roboto"/>
        </w:rPr>
      </w:pPr>
      <w:r w:rsidRPr="0099607F">
        <w:rPr>
          <w:rFonts w:ascii="Roboto" w:eastAsia="Roboto" w:hAnsi="Roboto" w:cs="Roboto"/>
          <w:sz w:val="20"/>
          <w:szCs w:val="20"/>
        </w:rPr>
        <w:t xml:space="preserve">Palomares-Cantero, J. M. (2023). Perspectivas bioéticas del trasplante de cara. Revista Mexicana de Trasplantes, 12(4), 205–211. </w:t>
      </w:r>
      <w:hyperlink r:id="rId16" w:history="1">
        <w:r w:rsidR="009318DF" w:rsidRPr="0058717B">
          <w:rPr>
            <w:rStyle w:val="Hipervnculo"/>
            <w:rFonts w:ascii="Roboto" w:eastAsia="Roboto" w:hAnsi="Roboto" w:cs="Roboto"/>
            <w:sz w:val="20"/>
            <w:szCs w:val="20"/>
          </w:rPr>
          <w:t>https://doi.org/10.35366/113805</w:t>
        </w:r>
      </w:hyperlink>
      <w:r w:rsidR="009318DF">
        <w:rPr>
          <w:rFonts w:ascii="Roboto" w:eastAsia="Roboto" w:hAnsi="Roboto" w:cs="Roboto"/>
          <w:sz w:val="20"/>
          <w:szCs w:val="20"/>
        </w:rPr>
        <w:t xml:space="preserve"> </w:t>
      </w:r>
    </w:p>
    <w:sectPr w:rsidR="00E50487" w:rsidRPr="0099607F">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B3D980" w14:textId="77777777" w:rsidR="00373CD5" w:rsidRDefault="00373CD5">
      <w:r>
        <w:separator/>
      </w:r>
    </w:p>
  </w:endnote>
  <w:endnote w:type="continuationSeparator" w:id="0">
    <w:p w14:paraId="203C6BE5" w14:textId="77777777" w:rsidR="00373CD5" w:rsidRDefault="00373C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Roboto">
    <w:altName w:val="Arial"/>
    <w:charset w:val="00"/>
    <w:family w:val="auto"/>
    <w:pitch w:val="variable"/>
    <w:sig w:usb0="E0000AFF" w:usb1="5000217F" w:usb2="0000002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AD9161" w14:textId="77777777" w:rsidR="00373CD5" w:rsidRDefault="00373CD5">
      <w:r>
        <w:separator/>
      </w:r>
    </w:p>
  </w:footnote>
  <w:footnote w:type="continuationSeparator" w:id="0">
    <w:p w14:paraId="5BAD531E" w14:textId="77777777" w:rsidR="00373CD5" w:rsidRDefault="00373CD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548E90" w14:textId="77777777" w:rsidR="00E50487" w:rsidRDefault="00E50487">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E50487" w14:paraId="29C8AAD5" w14:textId="77777777">
      <w:trPr>
        <w:trHeight w:val="345"/>
        <w:jc w:val="center"/>
      </w:trPr>
      <w:tc>
        <w:tcPr>
          <w:tcW w:w="6306" w:type="dxa"/>
          <w:vAlign w:val="center"/>
        </w:tcPr>
        <w:p w14:paraId="4AEE0F2A" w14:textId="77777777" w:rsidR="00E50487" w:rsidRDefault="00E50487">
          <w:pPr>
            <w:jc w:val="center"/>
            <w:rPr>
              <w:i/>
              <w:sz w:val="18"/>
              <w:szCs w:val="18"/>
            </w:rPr>
          </w:pPr>
        </w:p>
      </w:tc>
    </w:tr>
  </w:tbl>
  <w:p w14:paraId="124E686D" w14:textId="77777777" w:rsidR="00E50487" w:rsidRDefault="00E50487">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F70559"/>
    <w:multiLevelType w:val="hybridMultilevel"/>
    <w:tmpl w:val="9656E29A"/>
    <w:lvl w:ilvl="0" w:tplc="EBA4A926">
      <w:start w:val="1"/>
      <w:numFmt w:val="decimal"/>
      <w:lvlText w:val="%1."/>
      <w:lvlJc w:val="left"/>
      <w:pPr>
        <w:ind w:left="720" w:hanging="360"/>
      </w:pPr>
      <w:rPr>
        <w:sz w:val="20"/>
        <w:szCs w:val="2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2478870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0487"/>
    <w:rsid w:val="002A0D36"/>
    <w:rsid w:val="00363A3B"/>
    <w:rsid w:val="00373CD5"/>
    <w:rsid w:val="007862AE"/>
    <w:rsid w:val="009318DF"/>
    <w:rsid w:val="00937695"/>
    <w:rsid w:val="0099607F"/>
    <w:rsid w:val="00B557BE"/>
    <w:rsid w:val="00E50487"/>
    <w:rsid w:val="00FF76D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9E76C2"/>
  <w15:docId w15:val="{D109C629-AE1D-4A6D-AB92-31546503D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paragraph" w:styleId="NormalWeb">
    <w:name w:val="Normal (Web)"/>
    <w:basedOn w:val="Normal"/>
    <w:uiPriority w:val="99"/>
    <w:semiHidden/>
    <w:unhideWhenUsed/>
    <w:rsid w:val="00937695"/>
    <w:pPr>
      <w:spacing w:before="100" w:beforeAutospacing="1" w:after="100" w:afterAutospacing="1"/>
    </w:pPr>
  </w:style>
  <w:style w:type="table" w:styleId="Tablanormal3">
    <w:name w:val="Plain Table 3"/>
    <w:basedOn w:val="Tablanormal"/>
    <w:uiPriority w:val="43"/>
    <w:rsid w:val="00937695"/>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4">
    <w:name w:val="Plain Table 4"/>
    <w:basedOn w:val="Tablanormal"/>
    <w:uiPriority w:val="44"/>
    <w:rsid w:val="00937695"/>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rrafodelista">
    <w:name w:val="List Paragraph"/>
    <w:basedOn w:val="Normal"/>
    <w:uiPriority w:val="34"/>
    <w:qFormat/>
    <w:rsid w:val="0099607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5220008">
      <w:bodyDiv w:val="1"/>
      <w:marLeft w:val="0"/>
      <w:marRight w:val="0"/>
      <w:marTop w:val="0"/>
      <w:marBottom w:val="0"/>
      <w:divBdr>
        <w:top w:val="none" w:sz="0" w:space="0" w:color="auto"/>
        <w:left w:val="none" w:sz="0" w:space="0" w:color="auto"/>
        <w:bottom w:val="none" w:sz="0" w:space="0" w:color="auto"/>
        <w:right w:val="none" w:sz="0" w:space="0" w:color="auto"/>
      </w:divBdr>
      <w:divsChild>
        <w:div w:id="611598371">
          <w:marLeft w:val="0"/>
          <w:marRight w:val="0"/>
          <w:marTop w:val="0"/>
          <w:marBottom w:val="0"/>
          <w:divBdr>
            <w:top w:val="none" w:sz="0" w:space="0" w:color="auto"/>
            <w:left w:val="none" w:sz="0" w:space="0" w:color="auto"/>
            <w:bottom w:val="none" w:sz="0" w:space="0" w:color="auto"/>
            <w:right w:val="none" w:sz="0" w:space="0" w:color="auto"/>
          </w:divBdr>
          <w:divsChild>
            <w:div w:id="1238713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2254677">
      <w:bodyDiv w:val="1"/>
      <w:marLeft w:val="0"/>
      <w:marRight w:val="0"/>
      <w:marTop w:val="0"/>
      <w:marBottom w:val="0"/>
      <w:divBdr>
        <w:top w:val="none" w:sz="0" w:space="0" w:color="auto"/>
        <w:left w:val="none" w:sz="0" w:space="0" w:color="auto"/>
        <w:bottom w:val="none" w:sz="0" w:space="0" w:color="auto"/>
        <w:right w:val="none" w:sz="0" w:space="0" w:color="auto"/>
      </w:divBdr>
      <w:divsChild>
        <w:div w:id="2020962328">
          <w:marLeft w:val="0"/>
          <w:marRight w:val="0"/>
          <w:marTop w:val="0"/>
          <w:marBottom w:val="0"/>
          <w:divBdr>
            <w:top w:val="none" w:sz="0" w:space="0" w:color="auto"/>
            <w:left w:val="none" w:sz="0" w:space="0" w:color="auto"/>
            <w:bottom w:val="none" w:sz="0" w:space="0" w:color="auto"/>
            <w:right w:val="none" w:sz="0" w:space="0" w:color="auto"/>
          </w:divBdr>
          <w:divsChild>
            <w:div w:id="470366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juan.palomares@anahuac.mx" TargetMode="External"/><Relationship Id="rId13" Type="http://schemas.openxmlformats.org/officeDocument/2006/relationships/diagramColors" Target="diagrams/colors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i.org/10.35366/11380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5" Type="http://schemas.openxmlformats.org/officeDocument/2006/relationships/webSettings" Target="webSettings.xml"/><Relationship Id="rId15" Type="http://schemas.openxmlformats.org/officeDocument/2006/relationships/hyperlink" Target="https://doi.org/10.1111/bioe.12599" TargetMode="External"/><Relationship Id="rId10" Type="http://schemas.openxmlformats.org/officeDocument/2006/relationships/diagramData" Target="diagrams/data1.xml"/><Relationship Id="rId4" Type="http://schemas.openxmlformats.org/officeDocument/2006/relationships/settings" Target="settings.xml"/><Relationship Id="rId9" Type="http://schemas.openxmlformats.org/officeDocument/2006/relationships/header" Target="header1.xml"/><Relationship Id="rId14"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F2D0CA5-EAF4-473C-B7EB-EE017B12882E}" type="doc">
      <dgm:prSet loTypeId="urn:microsoft.com/office/officeart/2005/8/layout/radial1" loCatId="relationship" qsTypeId="urn:microsoft.com/office/officeart/2005/8/quickstyle/simple1" qsCatId="simple" csTypeId="urn:microsoft.com/office/officeart/2005/8/colors/accent3_1" csCatId="accent3" phldr="1"/>
      <dgm:spPr/>
      <dgm:t>
        <a:bodyPr/>
        <a:lstStyle/>
        <a:p>
          <a:endParaRPr lang="es-MX"/>
        </a:p>
      </dgm:t>
    </dgm:pt>
    <dgm:pt modelId="{53D5C65C-F612-4065-96B6-910BDEE52305}">
      <dgm:prSet phldrT="[Texto]" custT="1"/>
      <dgm:spPr/>
      <dgm:t>
        <a:bodyPr/>
        <a:lstStyle/>
        <a:p>
          <a:r>
            <a:rPr lang="es-MX" sz="700" b="1"/>
            <a:t>Trasplante de cara</a:t>
          </a:r>
        </a:p>
      </dgm:t>
    </dgm:pt>
    <dgm:pt modelId="{EF385593-7A4C-41FE-A5FB-06779BE25484}" type="parTrans" cxnId="{4B940213-7ABF-4461-B3F9-4F3C938F8340}">
      <dgm:prSet/>
      <dgm:spPr/>
      <dgm:t>
        <a:bodyPr/>
        <a:lstStyle/>
        <a:p>
          <a:endParaRPr lang="es-MX"/>
        </a:p>
      </dgm:t>
    </dgm:pt>
    <dgm:pt modelId="{6E5E24FC-F0C3-4D2F-B9EC-347B8EA859A2}" type="sibTrans" cxnId="{4B940213-7ABF-4461-B3F9-4F3C938F8340}">
      <dgm:prSet/>
      <dgm:spPr/>
      <dgm:t>
        <a:bodyPr/>
        <a:lstStyle/>
        <a:p>
          <a:endParaRPr lang="es-MX"/>
        </a:p>
      </dgm:t>
    </dgm:pt>
    <dgm:pt modelId="{DB4211BA-377A-43D7-9DE9-476EB4A3F7BE}">
      <dgm:prSet phldrT="[Texto]"/>
      <dgm:spPr/>
      <dgm:t>
        <a:bodyPr/>
        <a:lstStyle/>
        <a:p>
          <a:r>
            <a:rPr lang="es-MX"/>
            <a:t>Consentimiento informado</a:t>
          </a:r>
        </a:p>
      </dgm:t>
    </dgm:pt>
    <dgm:pt modelId="{C47FE122-1755-47AF-9588-333ED358EA0B}" type="parTrans" cxnId="{DD4D9BB1-90DA-4963-976E-6FA4C7C809F0}">
      <dgm:prSet/>
      <dgm:spPr/>
      <dgm:t>
        <a:bodyPr/>
        <a:lstStyle/>
        <a:p>
          <a:endParaRPr lang="es-MX"/>
        </a:p>
      </dgm:t>
    </dgm:pt>
    <dgm:pt modelId="{51EACA60-B9BA-478C-B593-375D5344137E}" type="sibTrans" cxnId="{DD4D9BB1-90DA-4963-976E-6FA4C7C809F0}">
      <dgm:prSet/>
      <dgm:spPr/>
      <dgm:t>
        <a:bodyPr/>
        <a:lstStyle/>
        <a:p>
          <a:endParaRPr lang="es-MX"/>
        </a:p>
      </dgm:t>
    </dgm:pt>
    <dgm:pt modelId="{BC88180D-31D1-4E04-BB89-4A222829E22C}">
      <dgm:prSet/>
      <dgm:spPr/>
      <dgm:t>
        <a:bodyPr/>
        <a:lstStyle/>
        <a:p>
          <a:r>
            <a:rPr lang="es-MX"/>
            <a:t>Justicia distributiva</a:t>
          </a:r>
        </a:p>
      </dgm:t>
    </dgm:pt>
    <dgm:pt modelId="{45B19FD2-31B3-4D07-864E-06A390C7E268}" type="parTrans" cxnId="{B83A0407-240E-46A6-8FC2-C5D9AE4F5803}">
      <dgm:prSet/>
      <dgm:spPr/>
      <dgm:t>
        <a:bodyPr/>
        <a:lstStyle/>
        <a:p>
          <a:endParaRPr lang="es-MX"/>
        </a:p>
      </dgm:t>
    </dgm:pt>
    <dgm:pt modelId="{21DD4B41-93E5-41DA-B128-971A3840205A}" type="sibTrans" cxnId="{B83A0407-240E-46A6-8FC2-C5D9AE4F5803}">
      <dgm:prSet/>
      <dgm:spPr/>
      <dgm:t>
        <a:bodyPr/>
        <a:lstStyle/>
        <a:p>
          <a:endParaRPr lang="es-MX"/>
        </a:p>
      </dgm:t>
    </dgm:pt>
    <dgm:pt modelId="{0EAD9F0A-6A3C-4717-B0B8-963151BDF862}">
      <dgm:prSet/>
      <dgm:spPr/>
      <dgm:t>
        <a:bodyPr/>
        <a:lstStyle/>
        <a:p>
          <a:r>
            <a:rPr lang="es-MX"/>
            <a:t>Identidad personal</a:t>
          </a:r>
        </a:p>
      </dgm:t>
    </dgm:pt>
    <dgm:pt modelId="{B0A342F0-5CCE-423B-8B97-2331C68172DD}" type="parTrans" cxnId="{A1879D36-A9AD-4295-B328-7C4B8FB85B6B}">
      <dgm:prSet/>
      <dgm:spPr/>
      <dgm:t>
        <a:bodyPr/>
        <a:lstStyle/>
        <a:p>
          <a:endParaRPr lang="es-MX"/>
        </a:p>
      </dgm:t>
    </dgm:pt>
    <dgm:pt modelId="{F2087E18-013E-4552-A74C-68387CD51123}" type="sibTrans" cxnId="{A1879D36-A9AD-4295-B328-7C4B8FB85B6B}">
      <dgm:prSet/>
      <dgm:spPr/>
      <dgm:t>
        <a:bodyPr/>
        <a:lstStyle/>
        <a:p>
          <a:endParaRPr lang="es-MX"/>
        </a:p>
      </dgm:t>
    </dgm:pt>
    <dgm:pt modelId="{267968FE-FF11-4AB4-89E5-DD6BA807A891}">
      <dgm:prSet/>
      <dgm:spPr/>
      <dgm:t>
        <a:bodyPr/>
        <a:lstStyle/>
        <a:p>
          <a:r>
            <a:rPr lang="es-MX"/>
            <a:t>Marco jurídico</a:t>
          </a:r>
        </a:p>
      </dgm:t>
    </dgm:pt>
    <dgm:pt modelId="{9B3B8D58-0B02-40EF-9E47-83DE99CCD01B}" type="parTrans" cxnId="{9BEE0602-1BAA-43F4-8B4B-B3FFC16AAEB0}">
      <dgm:prSet/>
      <dgm:spPr/>
      <dgm:t>
        <a:bodyPr/>
        <a:lstStyle/>
        <a:p>
          <a:endParaRPr lang="es-MX"/>
        </a:p>
      </dgm:t>
    </dgm:pt>
    <dgm:pt modelId="{AE25E8AB-8E63-4561-A655-C67742A2EC51}" type="sibTrans" cxnId="{9BEE0602-1BAA-43F4-8B4B-B3FFC16AAEB0}">
      <dgm:prSet/>
      <dgm:spPr/>
      <dgm:t>
        <a:bodyPr/>
        <a:lstStyle/>
        <a:p>
          <a:endParaRPr lang="es-MX"/>
        </a:p>
      </dgm:t>
    </dgm:pt>
    <dgm:pt modelId="{6C67696B-A535-480A-8498-D77BA564326A}" type="pres">
      <dgm:prSet presAssocID="{CF2D0CA5-EAF4-473C-B7EB-EE017B12882E}" presName="cycle" presStyleCnt="0">
        <dgm:presLayoutVars>
          <dgm:chMax val="1"/>
          <dgm:dir/>
          <dgm:animLvl val="ctr"/>
          <dgm:resizeHandles val="exact"/>
        </dgm:presLayoutVars>
      </dgm:prSet>
      <dgm:spPr/>
    </dgm:pt>
    <dgm:pt modelId="{2EEBB776-4131-4190-A971-7118CDA1C4FA}" type="pres">
      <dgm:prSet presAssocID="{53D5C65C-F612-4065-96B6-910BDEE52305}" presName="centerShape" presStyleLbl="node0" presStyleIdx="0" presStyleCnt="1"/>
      <dgm:spPr/>
    </dgm:pt>
    <dgm:pt modelId="{81BE2388-7FC2-440D-BE53-C22DBE6C5197}" type="pres">
      <dgm:prSet presAssocID="{C47FE122-1755-47AF-9588-333ED358EA0B}" presName="Name9" presStyleLbl="parChTrans1D2" presStyleIdx="0" presStyleCnt="4"/>
      <dgm:spPr/>
    </dgm:pt>
    <dgm:pt modelId="{05703E63-164F-4C03-8D19-8DD0FBF15EF2}" type="pres">
      <dgm:prSet presAssocID="{C47FE122-1755-47AF-9588-333ED358EA0B}" presName="connTx" presStyleLbl="parChTrans1D2" presStyleIdx="0" presStyleCnt="4"/>
      <dgm:spPr/>
    </dgm:pt>
    <dgm:pt modelId="{F8B673CF-05E8-4EDF-8D3A-8D78233BAB84}" type="pres">
      <dgm:prSet presAssocID="{DB4211BA-377A-43D7-9DE9-476EB4A3F7BE}" presName="node" presStyleLbl="node1" presStyleIdx="0" presStyleCnt="4">
        <dgm:presLayoutVars>
          <dgm:bulletEnabled val="1"/>
        </dgm:presLayoutVars>
      </dgm:prSet>
      <dgm:spPr/>
    </dgm:pt>
    <dgm:pt modelId="{92F793C3-E910-485C-A89A-7ECE96AB7C87}" type="pres">
      <dgm:prSet presAssocID="{45B19FD2-31B3-4D07-864E-06A390C7E268}" presName="Name9" presStyleLbl="parChTrans1D2" presStyleIdx="1" presStyleCnt="4"/>
      <dgm:spPr/>
    </dgm:pt>
    <dgm:pt modelId="{DAF190A6-43B1-4C27-98AA-8626CA9E10FF}" type="pres">
      <dgm:prSet presAssocID="{45B19FD2-31B3-4D07-864E-06A390C7E268}" presName="connTx" presStyleLbl="parChTrans1D2" presStyleIdx="1" presStyleCnt="4"/>
      <dgm:spPr/>
    </dgm:pt>
    <dgm:pt modelId="{AC124FE6-33D7-49FE-9A2E-E322F93FF919}" type="pres">
      <dgm:prSet presAssocID="{BC88180D-31D1-4E04-BB89-4A222829E22C}" presName="node" presStyleLbl="node1" presStyleIdx="1" presStyleCnt="4">
        <dgm:presLayoutVars>
          <dgm:bulletEnabled val="1"/>
        </dgm:presLayoutVars>
      </dgm:prSet>
      <dgm:spPr/>
    </dgm:pt>
    <dgm:pt modelId="{F36E6A93-94DA-466F-9CCB-F2E25FDBCB2B}" type="pres">
      <dgm:prSet presAssocID="{B0A342F0-5CCE-423B-8B97-2331C68172DD}" presName="Name9" presStyleLbl="parChTrans1D2" presStyleIdx="2" presStyleCnt="4"/>
      <dgm:spPr/>
    </dgm:pt>
    <dgm:pt modelId="{129441F4-4458-47E3-8343-BA33EB2EA2D7}" type="pres">
      <dgm:prSet presAssocID="{B0A342F0-5CCE-423B-8B97-2331C68172DD}" presName="connTx" presStyleLbl="parChTrans1D2" presStyleIdx="2" presStyleCnt="4"/>
      <dgm:spPr/>
    </dgm:pt>
    <dgm:pt modelId="{A3041DEB-733A-41FC-B0D0-E628017A80E0}" type="pres">
      <dgm:prSet presAssocID="{0EAD9F0A-6A3C-4717-B0B8-963151BDF862}" presName="node" presStyleLbl="node1" presStyleIdx="2" presStyleCnt="4">
        <dgm:presLayoutVars>
          <dgm:bulletEnabled val="1"/>
        </dgm:presLayoutVars>
      </dgm:prSet>
      <dgm:spPr/>
    </dgm:pt>
    <dgm:pt modelId="{985E6AC8-F72A-4E4D-A8DD-C4DD26FE78B3}" type="pres">
      <dgm:prSet presAssocID="{9B3B8D58-0B02-40EF-9E47-83DE99CCD01B}" presName="Name9" presStyleLbl="parChTrans1D2" presStyleIdx="3" presStyleCnt="4"/>
      <dgm:spPr/>
    </dgm:pt>
    <dgm:pt modelId="{3D7AD3BF-941F-4F31-8318-1DAE283E56E0}" type="pres">
      <dgm:prSet presAssocID="{9B3B8D58-0B02-40EF-9E47-83DE99CCD01B}" presName="connTx" presStyleLbl="parChTrans1D2" presStyleIdx="3" presStyleCnt="4"/>
      <dgm:spPr/>
    </dgm:pt>
    <dgm:pt modelId="{1D351CDA-A93A-4CB9-93B6-7B142EFCCACD}" type="pres">
      <dgm:prSet presAssocID="{267968FE-FF11-4AB4-89E5-DD6BA807A891}" presName="node" presStyleLbl="node1" presStyleIdx="3" presStyleCnt="4">
        <dgm:presLayoutVars>
          <dgm:bulletEnabled val="1"/>
        </dgm:presLayoutVars>
      </dgm:prSet>
      <dgm:spPr/>
    </dgm:pt>
  </dgm:ptLst>
  <dgm:cxnLst>
    <dgm:cxn modelId="{9BEE0602-1BAA-43F4-8B4B-B3FFC16AAEB0}" srcId="{53D5C65C-F612-4065-96B6-910BDEE52305}" destId="{267968FE-FF11-4AB4-89E5-DD6BA807A891}" srcOrd="3" destOrd="0" parTransId="{9B3B8D58-0B02-40EF-9E47-83DE99CCD01B}" sibTransId="{AE25E8AB-8E63-4561-A655-C67742A2EC51}"/>
    <dgm:cxn modelId="{B83A0407-240E-46A6-8FC2-C5D9AE4F5803}" srcId="{53D5C65C-F612-4065-96B6-910BDEE52305}" destId="{BC88180D-31D1-4E04-BB89-4A222829E22C}" srcOrd="1" destOrd="0" parTransId="{45B19FD2-31B3-4D07-864E-06A390C7E268}" sibTransId="{21DD4B41-93E5-41DA-B128-971A3840205A}"/>
    <dgm:cxn modelId="{4B940213-7ABF-4461-B3F9-4F3C938F8340}" srcId="{CF2D0CA5-EAF4-473C-B7EB-EE017B12882E}" destId="{53D5C65C-F612-4065-96B6-910BDEE52305}" srcOrd="0" destOrd="0" parTransId="{EF385593-7A4C-41FE-A5FB-06779BE25484}" sibTransId="{6E5E24FC-F0C3-4D2F-B9EC-347B8EA859A2}"/>
    <dgm:cxn modelId="{87CBCB1C-A433-480C-87DF-C3A3BBE22253}" type="presOf" srcId="{9B3B8D58-0B02-40EF-9E47-83DE99CCD01B}" destId="{3D7AD3BF-941F-4F31-8318-1DAE283E56E0}" srcOrd="1" destOrd="0" presId="urn:microsoft.com/office/officeart/2005/8/layout/radial1"/>
    <dgm:cxn modelId="{6184352C-CC5A-4BC8-8219-BA6DF2D749FC}" type="presOf" srcId="{0EAD9F0A-6A3C-4717-B0B8-963151BDF862}" destId="{A3041DEB-733A-41FC-B0D0-E628017A80E0}" srcOrd="0" destOrd="0" presId="urn:microsoft.com/office/officeart/2005/8/layout/radial1"/>
    <dgm:cxn modelId="{A1879D36-A9AD-4295-B328-7C4B8FB85B6B}" srcId="{53D5C65C-F612-4065-96B6-910BDEE52305}" destId="{0EAD9F0A-6A3C-4717-B0B8-963151BDF862}" srcOrd="2" destOrd="0" parTransId="{B0A342F0-5CCE-423B-8B97-2331C68172DD}" sibTransId="{F2087E18-013E-4552-A74C-68387CD51123}"/>
    <dgm:cxn modelId="{A5ECE73D-3297-45BD-BF62-288B37F4F225}" type="presOf" srcId="{B0A342F0-5CCE-423B-8B97-2331C68172DD}" destId="{F36E6A93-94DA-466F-9CCB-F2E25FDBCB2B}" srcOrd="0" destOrd="0" presId="urn:microsoft.com/office/officeart/2005/8/layout/radial1"/>
    <dgm:cxn modelId="{4408295B-A0F3-42AB-9669-97AF4DABDC78}" type="presOf" srcId="{9B3B8D58-0B02-40EF-9E47-83DE99CCD01B}" destId="{985E6AC8-F72A-4E4D-A8DD-C4DD26FE78B3}" srcOrd="0" destOrd="0" presId="urn:microsoft.com/office/officeart/2005/8/layout/radial1"/>
    <dgm:cxn modelId="{FC1BD25B-4E09-4F4C-9828-956FCAC80193}" type="presOf" srcId="{C47FE122-1755-47AF-9588-333ED358EA0B}" destId="{81BE2388-7FC2-440D-BE53-C22DBE6C5197}" srcOrd="0" destOrd="0" presId="urn:microsoft.com/office/officeart/2005/8/layout/radial1"/>
    <dgm:cxn modelId="{22430C46-635A-430B-AEB1-90DF4587CBAE}" type="presOf" srcId="{C47FE122-1755-47AF-9588-333ED358EA0B}" destId="{05703E63-164F-4C03-8D19-8DD0FBF15EF2}" srcOrd="1" destOrd="0" presId="urn:microsoft.com/office/officeart/2005/8/layout/radial1"/>
    <dgm:cxn modelId="{DE986073-A0C0-43E2-9A77-EF7EC83798A9}" type="presOf" srcId="{267968FE-FF11-4AB4-89E5-DD6BA807A891}" destId="{1D351CDA-A93A-4CB9-93B6-7B142EFCCACD}" srcOrd="0" destOrd="0" presId="urn:microsoft.com/office/officeart/2005/8/layout/radial1"/>
    <dgm:cxn modelId="{102AD986-471A-4251-A719-951D9135EA09}" type="presOf" srcId="{BC88180D-31D1-4E04-BB89-4A222829E22C}" destId="{AC124FE6-33D7-49FE-9A2E-E322F93FF919}" srcOrd="0" destOrd="0" presId="urn:microsoft.com/office/officeart/2005/8/layout/radial1"/>
    <dgm:cxn modelId="{2FE48DAB-7DB5-45DE-9AA2-1FA04969C4AF}" type="presOf" srcId="{53D5C65C-F612-4065-96B6-910BDEE52305}" destId="{2EEBB776-4131-4190-A971-7118CDA1C4FA}" srcOrd="0" destOrd="0" presId="urn:microsoft.com/office/officeart/2005/8/layout/radial1"/>
    <dgm:cxn modelId="{DD4D9BB1-90DA-4963-976E-6FA4C7C809F0}" srcId="{53D5C65C-F612-4065-96B6-910BDEE52305}" destId="{DB4211BA-377A-43D7-9DE9-476EB4A3F7BE}" srcOrd="0" destOrd="0" parTransId="{C47FE122-1755-47AF-9588-333ED358EA0B}" sibTransId="{51EACA60-B9BA-478C-B593-375D5344137E}"/>
    <dgm:cxn modelId="{45BA62B3-BA72-47A5-9E5F-2FF0468F5F83}" type="presOf" srcId="{45B19FD2-31B3-4D07-864E-06A390C7E268}" destId="{92F793C3-E910-485C-A89A-7ECE96AB7C87}" srcOrd="0" destOrd="0" presId="urn:microsoft.com/office/officeart/2005/8/layout/radial1"/>
    <dgm:cxn modelId="{B6FCDBB6-B56A-42AB-BA6F-4974010E9D79}" type="presOf" srcId="{B0A342F0-5CCE-423B-8B97-2331C68172DD}" destId="{129441F4-4458-47E3-8343-BA33EB2EA2D7}" srcOrd="1" destOrd="0" presId="urn:microsoft.com/office/officeart/2005/8/layout/radial1"/>
    <dgm:cxn modelId="{CE1D7EBC-8D3C-44FC-B285-78B4182FE6EA}" type="presOf" srcId="{45B19FD2-31B3-4D07-864E-06A390C7E268}" destId="{DAF190A6-43B1-4C27-98AA-8626CA9E10FF}" srcOrd="1" destOrd="0" presId="urn:microsoft.com/office/officeart/2005/8/layout/radial1"/>
    <dgm:cxn modelId="{36941FE9-6BD7-459D-996B-A1A1143D2497}" type="presOf" srcId="{CF2D0CA5-EAF4-473C-B7EB-EE017B12882E}" destId="{6C67696B-A535-480A-8498-D77BA564326A}" srcOrd="0" destOrd="0" presId="urn:microsoft.com/office/officeart/2005/8/layout/radial1"/>
    <dgm:cxn modelId="{918C42F2-0CC6-423B-A285-02E2D66D502E}" type="presOf" srcId="{DB4211BA-377A-43D7-9DE9-476EB4A3F7BE}" destId="{F8B673CF-05E8-4EDF-8D3A-8D78233BAB84}" srcOrd="0" destOrd="0" presId="urn:microsoft.com/office/officeart/2005/8/layout/radial1"/>
    <dgm:cxn modelId="{BA768BBB-2C58-41AA-A0AD-EFF7218FF754}" type="presParOf" srcId="{6C67696B-A535-480A-8498-D77BA564326A}" destId="{2EEBB776-4131-4190-A971-7118CDA1C4FA}" srcOrd="0" destOrd="0" presId="urn:microsoft.com/office/officeart/2005/8/layout/radial1"/>
    <dgm:cxn modelId="{A7918A59-26DA-42DD-9C6E-FE6CCA70A827}" type="presParOf" srcId="{6C67696B-A535-480A-8498-D77BA564326A}" destId="{81BE2388-7FC2-440D-BE53-C22DBE6C5197}" srcOrd="1" destOrd="0" presId="urn:microsoft.com/office/officeart/2005/8/layout/radial1"/>
    <dgm:cxn modelId="{E01B4880-C32A-47D3-B9C9-E25FEFDD316B}" type="presParOf" srcId="{81BE2388-7FC2-440D-BE53-C22DBE6C5197}" destId="{05703E63-164F-4C03-8D19-8DD0FBF15EF2}" srcOrd="0" destOrd="0" presId="urn:microsoft.com/office/officeart/2005/8/layout/radial1"/>
    <dgm:cxn modelId="{7BC07F42-A595-4E28-92CB-98E8A18A66AF}" type="presParOf" srcId="{6C67696B-A535-480A-8498-D77BA564326A}" destId="{F8B673CF-05E8-4EDF-8D3A-8D78233BAB84}" srcOrd="2" destOrd="0" presId="urn:microsoft.com/office/officeart/2005/8/layout/radial1"/>
    <dgm:cxn modelId="{4A0EDD7B-8D71-4602-8944-5BB305833F45}" type="presParOf" srcId="{6C67696B-A535-480A-8498-D77BA564326A}" destId="{92F793C3-E910-485C-A89A-7ECE96AB7C87}" srcOrd="3" destOrd="0" presId="urn:microsoft.com/office/officeart/2005/8/layout/radial1"/>
    <dgm:cxn modelId="{37F39947-88D6-4553-BA9D-409075249DD7}" type="presParOf" srcId="{92F793C3-E910-485C-A89A-7ECE96AB7C87}" destId="{DAF190A6-43B1-4C27-98AA-8626CA9E10FF}" srcOrd="0" destOrd="0" presId="urn:microsoft.com/office/officeart/2005/8/layout/radial1"/>
    <dgm:cxn modelId="{8B8F0431-5305-431B-9751-68D51D9E1331}" type="presParOf" srcId="{6C67696B-A535-480A-8498-D77BA564326A}" destId="{AC124FE6-33D7-49FE-9A2E-E322F93FF919}" srcOrd="4" destOrd="0" presId="urn:microsoft.com/office/officeart/2005/8/layout/radial1"/>
    <dgm:cxn modelId="{87BD89AF-B3E1-4029-B76F-8BA879A485C2}" type="presParOf" srcId="{6C67696B-A535-480A-8498-D77BA564326A}" destId="{F36E6A93-94DA-466F-9CCB-F2E25FDBCB2B}" srcOrd="5" destOrd="0" presId="urn:microsoft.com/office/officeart/2005/8/layout/radial1"/>
    <dgm:cxn modelId="{9822AEF3-779A-41EA-B94F-37A6930269AD}" type="presParOf" srcId="{F36E6A93-94DA-466F-9CCB-F2E25FDBCB2B}" destId="{129441F4-4458-47E3-8343-BA33EB2EA2D7}" srcOrd="0" destOrd="0" presId="urn:microsoft.com/office/officeart/2005/8/layout/radial1"/>
    <dgm:cxn modelId="{A6748F10-39FF-41E6-8FFC-3E2D2DE7B902}" type="presParOf" srcId="{6C67696B-A535-480A-8498-D77BA564326A}" destId="{A3041DEB-733A-41FC-B0D0-E628017A80E0}" srcOrd="6" destOrd="0" presId="urn:microsoft.com/office/officeart/2005/8/layout/radial1"/>
    <dgm:cxn modelId="{DD1F21B6-015B-4142-B489-EE393B23DD5D}" type="presParOf" srcId="{6C67696B-A535-480A-8498-D77BA564326A}" destId="{985E6AC8-F72A-4E4D-A8DD-C4DD26FE78B3}" srcOrd="7" destOrd="0" presId="urn:microsoft.com/office/officeart/2005/8/layout/radial1"/>
    <dgm:cxn modelId="{E454B1F3-A3B8-4B3D-BF1B-50ADC319FB22}" type="presParOf" srcId="{985E6AC8-F72A-4E4D-A8DD-C4DD26FE78B3}" destId="{3D7AD3BF-941F-4F31-8318-1DAE283E56E0}" srcOrd="0" destOrd="0" presId="urn:microsoft.com/office/officeart/2005/8/layout/radial1"/>
    <dgm:cxn modelId="{28E4E29D-2CA6-41B9-B8E5-FC5C02DFEEE7}" type="presParOf" srcId="{6C67696B-A535-480A-8498-D77BA564326A}" destId="{1D351CDA-A93A-4CB9-93B6-7B142EFCCACD}" srcOrd="8" destOrd="0" presId="urn:microsoft.com/office/officeart/2005/8/layout/radial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EBB776-4131-4190-A971-7118CDA1C4FA}">
      <dsp:nvSpPr>
        <dsp:cNvPr id="0" name=""/>
        <dsp:cNvSpPr/>
      </dsp:nvSpPr>
      <dsp:spPr>
        <a:xfrm>
          <a:off x="1271420" y="806600"/>
          <a:ext cx="613109" cy="613109"/>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marL="0" lvl="0" indent="0" algn="ctr" defTabSz="311150">
            <a:lnSpc>
              <a:spcPct val="90000"/>
            </a:lnSpc>
            <a:spcBef>
              <a:spcPct val="0"/>
            </a:spcBef>
            <a:spcAft>
              <a:spcPct val="35000"/>
            </a:spcAft>
            <a:buNone/>
          </a:pPr>
          <a:r>
            <a:rPr lang="es-MX" sz="700" b="1" kern="1200"/>
            <a:t>Trasplante de cara</a:t>
          </a:r>
        </a:p>
      </dsp:txBody>
      <dsp:txXfrm>
        <a:off x="1361208" y="896388"/>
        <a:ext cx="433533" cy="433533"/>
      </dsp:txXfrm>
    </dsp:sp>
    <dsp:sp modelId="{81BE2388-7FC2-440D-BE53-C22DBE6C5197}">
      <dsp:nvSpPr>
        <dsp:cNvPr id="0" name=""/>
        <dsp:cNvSpPr/>
      </dsp:nvSpPr>
      <dsp:spPr>
        <a:xfrm rot="16200000">
          <a:off x="1485550" y="696691"/>
          <a:ext cx="184848" cy="34968"/>
        </a:xfrm>
        <a:custGeom>
          <a:avLst/>
          <a:gdLst/>
          <a:ahLst/>
          <a:cxnLst/>
          <a:rect l="0" t="0" r="0" b="0"/>
          <a:pathLst>
            <a:path>
              <a:moveTo>
                <a:pt x="0" y="17484"/>
              </a:moveTo>
              <a:lnTo>
                <a:pt x="184848" y="17484"/>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1573353" y="709554"/>
        <a:ext cx="9242" cy="9242"/>
      </dsp:txXfrm>
    </dsp:sp>
    <dsp:sp modelId="{F8B673CF-05E8-4EDF-8D3A-8D78233BAB84}">
      <dsp:nvSpPr>
        <dsp:cNvPr id="0" name=""/>
        <dsp:cNvSpPr/>
      </dsp:nvSpPr>
      <dsp:spPr>
        <a:xfrm>
          <a:off x="1271420" y="8642"/>
          <a:ext cx="613109" cy="613109"/>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es-MX" sz="500" kern="1200"/>
            <a:t>Consentimiento informado</a:t>
          </a:r>
        </a:p>
      </dsp:txBody>
      <dsp:txXfrm>
        <a:off x="1361208" y="98430"/>
        <a:ext cx="433533" cy="433533"/>
      </dsp:txXfrm>
    </dsp:sp>
    <dsp:sp modelId="{92F793C3-E910-485C-A89A-7ECE96AB7C87}">
      <dsp:nvSpPr>
        <dsp:cNvPr id="0" name=""/>
        <dsp:cNvSpPr/>
      </dsp:nvSpPr>
      <dsp:spPr>
        <a:xfrm>
          <a:off x="1884529" y="1095670"/>
          <a:ext cx="184848" cy="34968"/>
        </a:xfrm>
        <a:custGeom>
          <a:avLst/>
          <a:gdLst/>
          <a:ahLst/>
          <a:cxnLst/>
          <a:rect l="0" t="0" r="0" b="0"/>
          <a:pathLst>
            <a:path>
              <a:moveTo>
                <a:pt x="0" y="17484"/>
              </a:moveTo>
              <a:lnTo>
                <a:pt x="184848" y="17484"/>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1972332" y="1108533"/>
        <a:ext cx="9242" cy="9242"/>
      </dsp:txXfrm>
    </dsp:sp>
    <dsp:sp modelId="{AC124FE6-33D7-49FE-9A2E-E322F93FF919}">
      <dsp:nvSpPr>
        <dsp:cNvPr id="0" name=""/>
        <dsp:cNvSpPr/>
      </dsp:nvSpPr>
      <dsp:spPr>
        <a:xfrm>
          <a:off x="2069378" y="806600"/>
          <a:ext cx="613109" cy="613109"/>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es-MX" sz="500" kern="1200"/>
            <a:t>Justicia distributiva</a:t>
          </a:r>
        </a:p>
      </dsp:txBody>
      <dsp:txXfrm>
        <a:off x="2159166" y="896388"/>
        <a:ext cx="433533" cy="433533"/>
      </dsp:txXfrm>
    </dsp:sp>
    <dsp:sp modelId="{F36E6A93-94DA-466F-9CCB-F2E25FDBCB2B}">
      <dsp:nvSpPr>
        <dsp:cNvPr id="0" name=""/>
        <dsp:cNvSpPr/>
      </dsp:nvSpPr>
      <dsp:spPr>
        <a:xfrm rot="5400000">
          <a:off x="1485550" y="1494649"/>
          <a:ext cx="184848" cy="34968"/>
        </a:xfrm>
        <a:custGeom>
          <a:avLst/>
          <a:gdLst/>
          <a:ahLst/>
          <a:cxnLst/>
          <a:rect l="0" t="0" r="0" b="0"/>
          <a:pathLst>
            <a:path>
              <a:moveTo>
                <a:pt x="0" y="17484"/>
              </a:moveTo>
              <a:lnTo>
                <a:pt x="184848" y="17484"/>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a:off x="1573353" y="1507512"/>
        <a:ext cx="9242" cy="9242"/>
      </dsp:txXfrm>
    </dsp:sp>
    <dsp:sp modelId="{A3041DEB-733A-41FC-B0D0-E628017A80E0}">
      <dsp:nvSpPr>
        <dsp:cNvPr id="0" name=""/>
        <dsp:cNvSpPr/>
      </dsp:nvSpPr>
      <dsp:spPr>
        <a:xfrm>
          <a:off x="1271420" y="1604558"/>
          <a:ext cx="613109" cy="613109"/>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es-MX" sz="500" kern="1200"/>
            <a:t>Identidad personal</a:t>
          </a:r>
        </a:p>
      </dsp:txBody>
      <dsp:txXfrm>
        <a:off x="1361208" y="1694346"/>
        <a:ext cx="433533" cy="433533"/>
      </dsp:txXfrm>
    </dsp:sp>
    <dsp:sp modelId="{985E6AC8-F72A-4E4D-A8DD-C4DD26FE78B3}">
      <dsp:nvSpPr>
        <dsp:cNvPr id="0" name=""/>
        <dsp:cNvSpPr/>
      </dsp:nvSpPr>
      <dsp:spPr>
        <a:xfrm rot="10800000">
          <a:off x="1086571" y="1095670"/>
          <a:ext cx="184848" cy="34968"/>
        </a:xfrm>
        <a:custGeom>
          <a:avLst/>
          <a:gdLst/>
          <a:ahLst/>
          <a:cxnLst/>
          <a:rect l="0" t="0" r="0" b="0"/>
          <a:pathLst>
            <a:path>
              <a:moveTo>
                <a:pt x="0" y="17484"/>
              </a:moveTo>
              <a:lnTo>
                <a:pt x="184848" y="17484"/>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s-MX" sz="500" kern="1200"/>
        </a:p>
      </dsp:txBody>
      <dsp:txXfrm rot="10800000">
        <a:off x="1174374" y="1108533"/>
        <a:ext cx="9242" cy="9242"/>
      </dsp:txXfrm>
    </dsp:sp>
    <dsp:sp modelId="{1D351CDA-A93A-4CB9-93B6-7B142EFCCACD}">
      <dsp:nvSpPr>
        <dsp:cNvPr id="0" name=""/>
        <dsp:cNvSpPr/>
      </dsp:nvSpPr>
      <dsp:spPr>
        <a:xfrm>
          <a:off x="473462" y="806600"/>
          <a:ext cx="613109" cy="613109"/>
        </a:xfrm>
        <a:prstGeom prst="ellipse">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175" tIns="3175" rIns="3175" bIns="3175" numCol="1" spcCol="1270" anchor="ctr" anchorCtr="0">
          <a:noAutofit/>
        </a:bodyPr>
        <a:lstStyle/>
        <a:p>
          <a:pPr marL="0" lvl="0" indent="0" algn="ctr" defTabSz="222250">
            <a:lnSpc>
              <a:spcPct val="90000"/>
            </a:lnSpc>
            <a:spcBef>
              <a:spcPct val="0"/>
            </a:spcBef>
            <a:spcAft>
              <a:spcPct val="35000"/>
            </a:spcAft>
            <a:buNone/>
          </a:pPr>
          <a:r>
            <a:rPr lang="es-MX" sz="500" kern="1200"/>
            <a:t>Marco jurídico</a:t>
          </a:r>
        </a:p>
      </dsp:txBody>
      <dsp:txXfrm>
        <a:off x="563250" y="896388"/>
        <a:ext cx="433533" cy="433533"/>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1479</Words>
  <Characters>8138</Characters>
  <Application>Microsoft Office Word</Application>
  <DocSecurity>0</DocSecurity>
  <Lines>67</Lines>
  <Paragraphs>19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Mariana Berenice González Leija</cp:lastModifiedBy>
  <cp:revision>2</cp:revision>
  <dcterms:created xsi:type="dcterms:W3CDTF">2026-02-24T16:04:00Z</dcterms:created>
  <dcterms:modified xsi:type="dcterms:W3CDTF">2026-02-24T16:04:00Z</dcterms:modified>
</cp:coreProperties>
</file>