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6C1A2B" w14:textId="0985E554" w:rsidR="008E54ED" w:rsidRDefault="00623B6E">
      <w:pPr>
        <w:pBdr>
          <w:top w:val="nil"/>
          <w:left w:val="nil"/>
          <w:bottom w:val="nil"/>
          <w:right w:val="nil"/>
          <w:between w:val="nil"/>
        </w:pBdr>
        <w:spacing w:before="120" w:after="120"/>
        <w:jc w:val="center"/>
        <w:rPr>
          <w:rFonts w:ascii="Roboto" w:eastAsia="Roboto" w:hAnsi="Roboto" w:cs="Roboto"/>
          <w:b/>
          <w:color w:val="000000"/>
        </w:rPr>
      </w:pPr>
      <w:r w:rsidRPr="00623B6E">
        <w:rPr>
          <w:rFonts w:ascii="Roboto" w:eastAsia="Roboto" w:hAnsi="Roboto" w:cs="Roboto"/>
          <w:b/>
          <w:color w:val="000000"/>
        </w:rPr>
        <w:t>Modelo de optimización integrado para la logística de materiales peligrosos: un estudio aplicado</w:t>
      </w:r>
    </w:p>
    <w:p w14:paraId="5634B8AA" w14:textId="6259FCCB" w:rsidR="008E54ED" w:rsidRDefault="00623B6E">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Carmona-Benítez, R.B.</w:t>
      </w:r>
      <w:r>
        <w:rPr>
          <w:rFonts w:ascii="Roboto" w:eastAsia="Roboto" w:hAnsi="Roboto" w:cs="Roboto"/>
          <w:b/>
          <w:color w:val="000000"/>
          <w:sz w:val="20"/>
          <w:szCs w:val="20"/>
          <w:vertAlign w:val="superscript"/>
        </w:rPr>
        <w:t>1*</w:t>
      </w:r>
      <w:r>
        <w:rPr>
          <w:rFonts w:ascii="Roboto" w:eastAsia="Roboto" w:hAnsi="Roboto" w:cs="Roboto"/>
          <w:b/>
          <w:color w:val="000000"/>
          <w:sz w:val="20"/>
          <w:szCs w:val="20"/>
        </w:rPr>
        <w:t>, Segura</w:t>
      </w:r>
      <w:r w:rsidR="004D4E6C">
        <w:rPr>
          <w:rFonts w:ascii="Roboto" w:eastAsia="Roboto" w:hAnsi="Roboto" w:cs="Roboto"/>
          <w:b/>
          <w:color w:val="000000"/>
          <w:sz w:val="20"/>
          <w:szCs w:val="20"/>
        </w:rPr>
        <w:t>-Perez, E</w:t>
      </w:r>
      <w:r>
        <w:rPr>
          <w:rFonts w:ascii="Roboto" w:eastAsia="Roboto" w:hAnsi="Roboto" w:cs="Roboto"/>
          <w:b/>
          <w:color w:val="000000"/>
          <w:sz w:val="20"/>
          <w:szCs w:val="20"/>
        </w:rPr>
        <w:t>.</w:t>
      </w:r>
      <w:r w:rsidR="009649B9">
        <w:rPr>
          <w:rFonts w:ascii="Roboto" w:eastAsia="Roboto" w:hAnsi="Roboto" w:cs="Roboto"/>
          <w:b/>
          <w:color w:val="000000"/>
          <w:sz w:val="20"/>
          <w:szCs w:val="20"/>
          <w:vertAlign w:val="superscript"/>
        </w:rPr>
        <w:t>1</w:t>
      </w:r>
      <w:r w:rsidR="004D4E6C">
        <w:rPr>
          <w:rFonts w:ascii="Roboto" w:eastAsia="Roboto" w:hAnsi="Roboto" w:cs="Roboto"/>
          <w:b/>
          <w:color w:val="000000"/>
          <w:sz w:val="20"/>
          <w:szCs w:val="20"/>
          <w:vertAlign w:val="superscript"/>
        </w:rPr>
        <w:t>,</w:t>
      </w:r>
      <w:r w:rsidR="009649B9">
        <w:rPr>
          <w:rFonts w:ascii="Roboto" w:eastAsia="Roboto" w:hAnsi="Roboto" w:cs="Roboto"/>
          <w:b/>
          <w:color w:val="000000"/>
          <w:sz w:val="20"/>
          <w:szCs w:val="20"/>
          <w:vertAlign w:val="superscript"/>
        </w:rPr>
        <w:t>2</w:t>
      </w:r>
    </w:p>
    <w:p w14:paraId="3F9D31D1" w14:textId="56E3AAB2" w:rsidR="008E54ED" w:rsidRDefault="00005B10">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4D4E6C" w:rsidRPr="004D4E6C">
        <w:rPr>
          <w:rFonts w:ascii="Roboto" w:eastAsia="Roboto" w:hAnsi="Roboto" w:cs="Roboto"/>
          <w:color w:val="000000"/>
          <w:sz w:val="18"/>
          <w:szCs w:val="18"/>
        </w:rPr>
        <w:t>Facultad de Economía y Negocios, Universidad Anáhuac México</w:t>
      </w:r>
      <w:r>
        <w:rPr>
          <w:rFonts w:ascii="Roboto" w:eastAsia="Roboto" w:hAnsi="Roboto" w:cs="Roboto"/>
          <w:color w:val="000000"/>
          <w:sz w:val="18"/>
          <w:szCs w:val="18"/>
        </w:rPr>
        <w:t>, ORCID</w:t>
      </w:r>
      <w:r w:rsidR="004D4E6C">
        <w:rPr>
          <w:rFonts w:ascii="Roboto" w:eastAsia="Roboto" w:hAnsi="Roboto" w:cs="Roboto"/>
          <w:color w:val="000000"/>
          <w:sz w:val="18"/>
          <w:szCs w:val="18"/>
        </w:rPr>
        <w:t>: 0000-0002-8369-2748</w:t>
      </w:r>
    </w:p>
    <w:p w14:paraId="351EED41" w14:textId="7BEFE2E7" w:rsidR="003456B2" w:rsidRDefault="009649B9">
      <w:pPr>
        <w:jc w:val="center"/>
        <w:rPr>
          <w:rFonts w:ascii="Roboto" w:eastAsia="Roboto" w:hAnsi="Roboto" w:cs="Roboto"/>
          <w:sz w:val="18"/>
          <w:szCs w:val="18"/>
        </w:rPr>
      </w:pPr>
      <w:r>
        <w:rPr>
          <w:rFonts w:ascii="Roboto" w:eastAsia="Roboto" w:hAnsi="Roboto" w:cs="Roboto"/>
          <w:sz w:val="18"/>
          <w:szCs w:val="18"/>
          <w:vertAlign w:val="superscript"/>
        </w:rPr>
        <w:t>2</w:t>
      </w:r>
      <w:r w:rsidR="003456B2">
        <w:rPr>
          <w:rFonts w:ascii="Roboto" w:eastAsia="Roboto" w:hAnsi="Roboto" w:cs="Roboto"/>
          <w:sz w:val="18"/>
          <w:szCs w:val="18"/>
        </w:rPr>
        <w:t xml:space="preserve">Facultad de Ingeniería, Universidad Nacional Autónoma de México, ORCID: </w:t>
      </w:r>
      <w:r w:rsidR="003456B2" w:rsidRPr="00785BAD">
        <w:rPr>
          <w:rFonts w:ascii="Roboto" w:eastAsia="Roboto" w:hAnsi="Roboto" w:cs="Roboto"/>
          <w:sz w:val="18"/>
          <w:szCs w:val="18"/>
        </w:rPr>
        <w:t>0000-0002-4210-5762</w:t>
      </w:r>
    </w:p>
    <w:p w14:paraId="166711EE" w14:textId="367EFC8A" w:rsidR="008E54ED" w:rsidRDefault="00005B10">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4D4E6C">
        <w:rPr>
          <w:rFonts w:ascii="Roboto" w:eastAsia="Roboto" w:hAnsi="Roboto" w:cs="Roboto"/>
          <w:sz w:val="18"/>
          <w:szCs w:val="18"/>
        </w:rPr>
        <w:t>rafael.carmona@anahuac.mx</w:t>
      </w:r>
      <w:r>
        <w:rPr>
          <w:rFonts w:ascii="Roboto" w:eastAsia="Roboto" w:hAnsi="Roboto" w:cs="Roboto"/>
          <w:sz w:val="18"/>
          <w:szCs w:val="18"/>
        </w:rPr>
        <w:t>)</w:t>
      </w:r>
    </w:p>
    <w:p w14:paraId="0B279E6C" w14:textId="77777777" w:rsidR="008E54ED" w:rsidRDefault="00000000">
      <w:pPr>
        <w:spacing w:before="60"/>
        <w:jc w:val="center"/>
        <w:rPr>
          <w:rFonts w:ascii="Roboto" w:eastAsia="Roboto" w:hAnsi="Roboto" w:cs="Roboto"/>
          <w:sz w:val="18"/>
          <w:szCs w:val="18"/>
        </w:rPr>
        <w:sectPr w:rsidR="008E54ED">
          <w:headerReference w:type="default" r:id="rId7"/>
          <w:pgSz w:w="11906" w:h="16838"/>
          <w:pgMar w:top="851" w:right="851" w:bottom="828" w:left="851" w:header="357" w:footer="720" w:gutter="0"/>
          <w:pgNumType w:start="1"/>
          <w:cols w:space="720"/>
        </w:sectPr>
      </w:pPr>
      <w:r>
        <w:pict w14:anchorId="5567218B">
          <v:rect id="_x0000_i1025" style="width:0;height:1.5pt" o:hralign="center" o:hrstd="t" o:hr="t" fillcolor="#a0a0a0" stroked="f"/>
        </w:pict>
      </w:r>
    </w:p>
    <w:p w14:paraId="09F5493D" w14:textId="20B0795F" w:rsidR="008E54ED" w:rsidRDefault="00FC165C">
      <w:pPr>
        <w:pBdr>
          <w:top w:val="nil"/>
          <w:left w:val="nil"/>
          <w:bottom w:val="nil"/>
          <w:right w:val="nil"/>
          <w:between w:val="nil"/>
        </w:pBdr>
        <w:spacing w:before="60"/>
        <w:jc w:val="both"/>
        <w:rPr>
          <w:rFonts w:ascii="Roboto" w:eastAsia="Roboto" w:hAnsi="Roboto" w:cs="Roboto"/>
          <w:b/>
          <w:color w:val="000000"/>
          <w:sz w:val="20"/>
          <w:szCs w:val="20"/>
        </w:rPr>
      </w:pPr>
      <w:r>
        <w:rPr>
          <w:rFonts w:ascii="Roboto" w:eastAsia="Roboto" w:hAnsi="Roboto" w:cs="Roboto"/>
          <w:b/>
          <w:color w:val="000000"/>
          <w:sz w:val="20"/>
          <w:szCs w:val="20"/>
        </w:rPr>
        <w:t>INTRODUCCIÓN</w:t>
      </w:r>
    </w:p>
    <w:p w14:paraId="78DD98E9" w14:textId="67994D4A" w:rsidR="00D40503" w:rsidRPr="00F85FAF" w:rsidRDefault="00D40503" w:rsidP="00D40503">
      <w:pPr>
        <w:pBdr>
          <w:top w:val="nil"/>
          <w:left w:val="nil"/>
          <w:bottom w:val="nil"/>
          <w:right w:val="nil"/>
          <w:between w:val="nil"/>
        </w:pBdr>
        <w:jc w:val="both"/>
        <w:rPr>
          <w:rFonts w:ascii="Roboto" w:eastAsia="Roboto" w:hAnsi="Roboto" w:cs="Roboto"/>
          <w:color w:val="000000"/>
          <w:sz w:val="20"/>
          <w:szCs w:val="20"/>
        </w:rPr>
      </w:pPr>
      <w:r w:rsidRPr="00D40503">
        <w:rPr>
          <w:rFonts w:ascii="Roboto" w:eastAsia="Roboto" w:hAnsi="Roboto" w:cs="Roboto"/>
          <w:color w:val="000000"/>
          <w:sz w:val="20"/>
          <w:szCs w:val="20"/>
        </w:rPr>
        <w:t xml:space="preserve">La logística de materiales peligrosos constituye un componente crítico de numerosas cadenas de suministro, particularmente en sectores relacionados con la energía y el transporte de combustibles. El manejo y distribución </w:t>
      </w:r>
      <w:r w:rsidRPr="00C35D48">
        <w:rPr>
          <w:rFonts w:ascii="Roboto" w:eastAsia="Roboto" w:hAnsi="Roboto" w:cs="Roboto"/>
          <w:color w:val="000000"/>
          <w:sz w:val="20"/>
          <w:szCs w:val="20"/>
        </w:rPr>
        <w:t xml:space="preserve">de líquidos inflamables implican altos costos operativos, estrictas restricciones regulatorias y riesgos relevantes para la seguridad y el medio ambiente, lo </w:t>
      </w:r>
      <w:r w:rsidRPr="00F85FAF">
        <w:rPr>
          <w:rFonts w:ascii="Roboto" w:eastAsia="Roboto" w:hAnsi="Roboto" w:cs="Roboto"/>
          <w:color w:val="000000"/>
          <w:sz w:val="20"/>
          <w:szCs w:val="20"/>
        </w:rPr>
        <w:t>que exige procesos de planeación y toma de decisiones robustos</w:t>
      </w:r>
      <w:r w:rsidR="00963588" w:rsidRPr="00F85FAF">
        <w:rPr>
          <w:rFonts w:ascii="Roboto" w:eastAsia="Roboto" w:hAnsi="Roboto" w:cs="Roboto"/>
          <w:color w:val="000000"/>
          <w:sz w:val="20"/>
          <w:szCs w:val="20"/>
        </w:rPr>
        <w:t xml:space="preserve"> (Erkut et al., 2007)</w:t>
      </w:r>
      <w:r w:rsidRPr="00F85FAF">
        <w:rPr>
          <w:rFonts w:ascii="Roboto" w:eastAsia="Roboto" w:hAnsi="Roboto" w:cs="Roboto"/>
          <w:color w:val="000000"/>
          <w:sz w:val="20"/>
          <w:szCs w:val="20"/>
        </w:rPr>
        <w:t>. En este contexto, el diseño eficiente de redes de distribución y la coordinación de las operaciones logísticas resultan fundamentales para garantizar el abastecimiento oportuno y minimizar costos y riesgos</w:t>
      </w:r>
      <w:r w:rsidR="00C35D48" w:rsidRPr="00F85FAF">
        <w:rPr>
          <w:rFonts w:ascii="Roboto" w:eastAsia="Roboto" w:hAnsi="Roboto" w:cs="Roboto"/>
          <w:color w:val="000000"/>
          <w:sz w:val="20"/>
          <w:szCs w:val="20"/>
        </w:rPr>
        <w:t xml:space="preserve"> (Hu et al., 2017)</w:t>
      </w:r>
      <w:r w:rsidRPr="00F85FAF">
        <w:rPr>
          <w:rFonts w:ascii="Roboto" w:eastAsia="Roboto" w:hAnsi="Roboto" w:cs="Roboto"/>
          <w:color w:val="000000"/>
          <w:sz w:val="20"/>
          <w:szCs w:val="20"/>
        </w:rPr>
        <w:t>.</w:t>
      </w:r>
    </w:p>
    <w:p w14:paraId="68400CE4" w14:textId="77777777" w:rsidR="00D40503" w:rsidRPr="00F85FAF" w:rsidRDefault="00D40503" w:rsidP="00D40503">
      <w:pPr>
        <w:pBdr>
          <w:top w:val="nil"/>
          <w:left w:val="nil"/>
          <w:bottom w:val="nil"/>
          <w:right w:val="nil"/>
          <w:between w:val="nil"/>
        </w:pBdr>
        <w:jc w:val="both"/>
        <w:rPr>
          <w:rFonts w:ascii="Roboto" w:eastAsia="Roboto" w:hAnsi="Roboto" w:cs="Roboto"/>
          <w:color w:val="000000"/>
          <w:sz w:val="20"/>
          <w:szCs w:val="20"/>
        </w:rPr>
      </w:pPr>
    </w:p>
    <w:p w14:paraId="7C3B768B" w14:textId="6CF3EA58" w:rsidR="00D40503" w:rsidRPr="00F85FAF" w:rsidRDefault="00D40503" w:rsidP="00D40503">
      <w:pPr>
        <w:pBdr>
          <w:top w:val="nil"/>
          <w:left w:val="nil"/>
          <w:bottom w:val="nil"/>
          <w:right w:val="nil"/>
          <w:between w:val="nil"/>
        </w:pBdr>
        <w:jc w:val="both"/>
        <w:rPr>
          <w:rFonts w:ascii="Roboto" w:eastAsia="Roboto" w:hAnsi="Roboto" w:cs="Roboto"/>
          <w:color w:val="000000"/>
          <w:sz w:val="20"/>
          <w:szCs w:val="20"/>
        </w:rPr>
      </w:pPr>
      <w:r w:rsidRPr="00F85FAF">
        <w:rPr>
          <w:rFonts w:ascii="Roboto" w:eastAsia="Roboto" w:hAnsi="Roboto" w:cs="Roboto"/>
          <w:color w:val="000000"/>
          <w:sz w:val="20"/>
          <w:szCs w:val="20"/>
        </w:rPr>
        <w:t xml:space="preserve">A pesar del amplio desarrollo de la literatura en transporte de materiales peligrosos y en problemas de diseño de redes de distribución, </w:t>
      </w:r>
      <w:r w:rsidR="00F85FAF">
        <w:rPr>
          <w:rFonts w:ascii="Roboto" w:eastAsia="Roboto" w:hAnsi="Roboto" w:cs="Roboto"/>
          <w:color w:val="000000"/>
          <w:sz w:val="20"/>
          <w:szCs w:val="20"/>
        </w:rPr>
        <w:t>existe</w:t>
      </w:r>
      <w:r w:rsidRPr="00F85FAF">
        <w:rPr>
          <w:rFonts w:ascii="Roboto" w:eastAsia="Roboto" w:hAnsi="Roboto" w:cs="Roboto"/>
          <w:color w:val="000000"/>
          <w:sz w:val="20"/>
          <w:szCs w:val="20"/>
        </w:rPr>
        <w:t xml:space="preserve"> una limitación importante: en los sistemas reales de distribución de materiales peligrosos, las decisiones relacionadas con la localización de instalaciones, la asignación de demanda, los niveles de inventario, la inversión en capacidad, la asignación de flota y el ruteo de vehículos se encuentran fuertemente interrelacionadas, pero con frecuencia se modelan y resuelven de manera separada</w:t>
      </w:r>
      <w:r w:rsidR="00C35D48" w:rsidRPr="00F85FAF">
        <w:rPr>
          <w:rFonts w:ascii="Roboto" w:eastAsia="Roboto" w:hAnsi="Roboto" w:cs="Roboto"/>
          <w:color w:val="000000"/>
          <w:sz w:val="20"/>
          <w:szCs w:val="20"/>
        </w:rPr>
        <w:t xml:space="preserve"> (Yilmaz, Erol y Aplak, 2016)</w:t>
      </w:r>
      <w:r w:rsidRPr="00F85FAF">
        <w:rPr>
          <w:rFonts w:ascii="Roboto" w:eastAsia="Roboto" w:hAnsi="Roboto" w:cs="Roboto"/>
          <w:color w:val="000000"/>
          <w:sz w:val="20"/>
          <w:szCs w:val="20"/>
        </w:rPr>
        <w:t>. Esta fragmentación puede conducir a soluciones subóptimas cuando se evalúan desde una perspectiva integral de la cadena de suministro.</w:t>
      </w:r>
    </w:p>
    <w:p w14:paraId="103FAC08" w14:textId="77777777" w:rsidR="00D40503" w:rsidRPr="00F85FAF" w:rsidRDefault="00D40503" w:rsidP="00D40503">
      <w:pPr>
        <w:pBdr>
          <w:top w:val="nil"/>
          <w:left w:val="nil"/>
          <w:bottom w:val="nil"/>
          <w:right w:val="nil"/>
          <w:between w:val="nil"/>
        </w:pBdr>
        <w:jc w:val="both"/>
        <w:rPr>
          <w:rFonts w:ascii="Roboto" w:eastAsia="Roboto" w:hAnsi="Roboto" w:cs="Roboto"/>
          <w:color w:val="000000"/>
          <w:sz w:val="20"/>
          <w:szCs w:val="20"/>
        </w:rPr>
      </w:pPr>
    </w:p>
    <w:p w14:paraId="75B77A5B" w14:textId="47F26D8E" w:rsidR="00D40503" w:rsidRPr="00F85FAF" w:rsidRDefault="00D40503" w:rsidP="00D40503">
      <w:pPr>
        <w:pBdr>
          <w:top w:val="nil"/>
          <w:left w:val="nil"/>
          <w:bottom w:val="nil"/>
          <w:right w:val="nil"/>
          <w:between w:val="nil"/>
        </w:pBdr>
        <w:jc w:val="both"/>
        <w:rPr>
          <w:rFonts w:ascii="Roboto" w:eastAsia="Roboto" w:hAnsi="Roboto" w:cs="Roboto"/>
          <w:color w:val="000000"/>
          <w:sz w:val="20"/>
          <w:szCs w:val="20"/>
        </w:rPr>
      </w:pPr>
      <w:r w:rsidRPr="00F85FAF">
        <w:rPr>
          <w:rFonts w:ascii="Roboto" w:eastAsia="Roboto" w:hAnsi="Roboto" w:cs="Roboto"/>
          <w:color w:val="000000"/>
          <w:sz w:val="20"/>
          <w:szCs w:val="20"/>
        </w:rPr>
        <w:t>Esta situación resulta particularmente crítica en la logística de líquidos inflamables, donde la factibilidad operativa y el desempeño económico dependen de manera conjunta de la estructura de la red, la capacidad de almacenamiento, la heterogeneidad de la flota y las restricciones de ruteo. En entornos con alta variabilidad de la demanda, los enfoques tradicionales basados en horizontes de decisión separados se vuelven restrictivos, ya que los requerimientos de servicio y la estructura de costos demandan ajustes frecuentes en la configuración de la red logística</w:t>
      </w:r>
      <w:r w:rsidR="00C35D48" w:rsidRPr="00F85FAF">
        <w:rPr>
          <w:rFonts w:ascii="Roboto" w:eastAsia="Roboto" w:hAnsi="Roboto" w:cs="Roboto"/>
          <w:color w:val="000000"/>
          <w:sz w:val="20"/>
          <w:szCs w:val="20"/>
        </w:rPr>
        <w:t xml:space="preserve"> (TRB, 2005)</w:t>
      </w:r>
      <w:r w:rsidRPr="00F85FAF">
        <w:rPr>
          <w:rFonts w:ascii="Roboto" w:eastAsia="Roboto" w:hAnsi="Roboto" w:cs="Roboto"/>
          <w:color w:val="000000"/>
          <w:sz w:val="20"/>
          <w:szCs w:val="20"/>
        </w:rPr>
        <w:t>.</w:t>
      </w:r>
    </w:p>
    <w:p w14:paraId="1ADDF1E4" w14:textId="77777777" w:rsidR="00D40503" w:rsidRPr="00F85FAF" w:rsidRDefault="00D40503" w:rsidP="00D40503">
      <w:pPr>
        <w:pBdr>
          <w:top w:val="nil"/>
          <w:left w:val="nil"/>
          <w:bottom w:val="nil"/>
          <w:right w:val="nil"/>
          <w:between w:val="nil"/>
        </w:pBdr>
        <w:jc w:val="both"/>
        <w:rPr>
          <w:rFonts w:ascii="Roboto" w:eastAsia="Roboto" w:hAnsi="Roboto" w:cs="Roboto"/>
          <w:color w:val="000000"/>
          <w:sz w:val="20"/>
          <w:szCs w:val="20"/>
        </w:rPr>
      </w:pPr>
    </w:p>
    <w:p w14:paraId="4F9582FB" w14:textId="1F8E3D66" w:rsidR="00D40503" w:rsidRPr="00D40503" w:rsidRDefault="00D40503" w:rsidP="00D40503">
      <w:pPr>
        <w:pBdr>
          <w:top w:val="nil"/>
          <w:left w:val="nil"/>
          <w:bottom w:val="nil"/>
          <w:right w:val="nil"/>
          <w:between w:val="nil"/>
        </w:pBdr>
        <w:jc w:val="both"/>
        <w:rPr>
          <w:rFonts w:ascii="Roboto" w:eastAsia="Roboto" w:hAnsi="Roboto" w:cs="Roboto"/>
          <w:color w:val="000000"/>
          <w:sz w:val="20"/>
          <w:szCs w:val="20"/>
        </w:rPr>
      </w:pPr>
      <w:r w:rsidRPr="00F85FAF">
        <w:rPr>
          <w:rFonts w:ascii="Roboto" w:eastAsia="Roboto" w:hAnsi="Roboto" w:cs="Roboto"/>
          <w:color w:val="000000"/>
          <w:sz w:val="20"/>
          <w:szCs w:val="20"/>
        </w:rPr>
        <w:t>El presente trabajo se desarrolla a partir del estudio de un caso real de una empresa dedicada al transporte</w:t>
      </w:r>
      <w:r w:rsidRPr="00D40503">
        <w:rPr>
          <w:rFonts w:ascii="Roboto" w:eastAsia="Roboto" w:hAnsi="Roboto" w:cs="Roboto"/>
          <w:color w:val="000000"/>
          <w:sz w:val="20"/>
          <w:szCs w:val="20"/>
        </w:rPr>
        <w:t xml:space="preserve"> de materiales peligrosos líquidos, que proporcionó información histórica de demanda, datos operativos y restricciones reales bajo acuerdos de confidencialidad. A partir de este contexto, se plantea un modelo de optimización integrado</w:t>
      </w:r>
      <w:r w:rsidR="006C7C82">
        <w:rPr>
          <w:rFonts w:ascii="Roboto" w:eastAsia="Roboto" w:hAnsi="Roboto" w:cs="Roboto"/>
          <w:color w:val="000000"/>
          <w:sz w:val="20"/>
          <w:szCs w:val="20"/>
        </w:rPr>
        <w:t xml:space="preserve"> llamado CLITraP-HTF</w:t>
      </w:r>
      <w:r w:rsidRPr="00D40503">
        <w:rPr>
          <w:rFonts w:ascii="Roboto" w:eastAsia="Roboto" w:hAnsi="Roboto" w:cs="Roboto"/>
          <w:color w:val="000000"/>
          <w:sz w:val="20"/>
          <w:szCs w:val="20"/>
        </w:rPr>
        <w:t xml:space="preserve"> que considera de manera simultánea decisiones de localización, asignación, inventarios, inversión y ruteo, formulado como un problema de diseño de red de </w:t>
      </w:r>
      <w:r w:rsidRPr="00D40503">
        <w:rPr>
          <w:rFonts w:ascii="Roboto" w:eastAsia="Roboto" w:hAnsi="Roboto" w:cs="Roboto"/>
          <w:color w:val="000000"/>
          <w:sz w:val="20"/>
          <w:szCs w:val="20"/>
        </w:rPr>
        <w:t>distribución con flota heterogénea. Este enfoque permite representar de forma más realista los procesos de planeación y operación que enfrentan las cadenas de suministro de materiales peligrosos.</w:t>
      </w:r>
    </w:p>
    <w:p w14:paraId="35CEB824" w14:textId="77777777" w:rsidR="00D40503" w:rsidRPr="00D40503" w:rsidRDefault="00D40503" w:rsidP="00D40503">
      <w:pPr>
        <w:pBdr>
          <w:top w:val="nil"/>
          <w:left w:val="nil"/>
          <w:bottom w:val="nil"/>
          <w:right w:val="nil"/>
          <w:between w:val="nil"/>
        </w:pBdr>
        <w:jc w:val="both"/>
        <w:rPr>
          <w:rFonts w:ascii="Roboto" w:eastAsia="Roboto" w:hAnsi="Roboto" w:cs="Roboto"/>
          <w:color w:val="000000"/>
          <w:sz w:val="20"/>
          <w:szCs w:val="20"/>
        </w:rPr>
      </w:pPr>
    </w:p>
    <w:p w14:paraId="0FCFE703" w14:textId="031823D1" w:rsidR="008E54ED" w:rsidRDefault="005757F3" w:rsidP="00D40503">
      <w:pPr>
        <w:pBdr>
          <w:top w:val="nil"/>
          <w:left w:val="nil"/>
          <w:bottom w:val="nil"/>
          <w:right w:val="nil"/>
          <w:between w:val="nil"/>
        </w:pBdr>
        <w:jc w:val="both"/>
        <w:rPr>
          <w:rFonts w:ascii="Roboto" w:eastAsia="Roboto" w:hAnsi="Roboto" w:cs="Roboto"/>
          <w:color w:val="000000"/>
          <w:sz w:val="20"/>
          <w:szCs w:val="20"/>
        </w:rPr>
      </w:pPr>
      <w:r w:rsidRPr="005757F3">
        <w:rPr>
          <w:rFonts w:ascii="Roboto" w:eastAsia="Roboto" w:hAnsi="Roboto" w:cs="Roboto"/>
          <w:color w:val="000000"/>
          <w:sz w:val="20"/>
          <w:szCs w:val="20"/>
        </w:rPr>
        <w:t xml:space="preserve">Dado que el modelo propuesto aborda un problema de alta complejidad computacional, se desarrolla una estrategia heurística de solución que permite obtener soluciones factibles bajo restricciones operativas reales. En este sentido, </w:t>
      </w:r>
      <w:r w:rsidRPr="005757F3">
        <w:rPr>
          <w:rFonts w:ascii="Roboto" w:eastAsia="Roboto" w:hAnsi="Roboto" w:cs="Roboto"/>
          <w:b/>
          <w:color w:val="000000"/>
          <w:sz w:val="20"/>
          <w:szCs w:val="20"/>
        </w:rPr>
        <w:t>las contribuciones de esta investigación son el desarrollo de un modelo de optimización integrado para la logística de materiales peligrosos y una estrategia heurística de solución que hace viable su aplicación en contextos logísticos reales</w:t>
      </w:r>
      <w:r>
        <w:rPr>
          <w:rFonts w:ascii="Roboto" w:eastAsia="Roboto" w:hAnsi="Roboto" w:cs="Roboto"/>
          <w:color w:val="000000"/>
          <w:sz w:val="20"/>
          <w:szCs w:val="20"/>
        </w:rPr>
        <w:t>.</w:t>
      </w:r>
    </w:p>
    <w:p w14:paraId="5022C94A" w14:textId="77777777" w:rsidR="005757F3" w:rsidRDefault="005757F3" w:rsidP="00D40503">
      <w:pPr>
        <w:pBdr>
          <w:top w:val="nil"/>
          <w:left w:val="nil"/>
          <w:bottom w:val="nil"/>
          <w:right w:val="nil"/>
          <w:between w:val="nil"/>
        </w:pBdr>
        <w:jc w:val="both"/>
        <w:rPr>
          <w:rFonts w:ascii="Roboto" w:eastAsia="Roboto" w:hAnsi="Roboto" w:cs="Roboto"/>
          <w:b/>
          <w:color w:val="000000"/>
          <w:sz w:val="20"/>
          <w:szCs w:val="20"/>
        </w:rPr>
      </w:pPr>
    </w:p>
    <w:p w14:paraId="35DE0893" w14:textId="75F82383" w:rsidR="008E54ED" w:rsidRDefault="00E14DDA">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DESCRIPCIÓN DEL PROBLEMA Y DEL MODELO</w:t>
      </w:r>
    </w:p>
    <w:p w14:paraId="1CAADE62" w14:textId="77777777" w:rsidR="00345F5D" w:rsidRPr="00345F5D" w:rsidRDefault="00345F5D" w:rsidP="00345F5D">
      <w:pPr>
        <w:pBdr>
          <w:top w:val="nil"/>
          <w:left w:val="nil"/>
          <w:bottom w:val="nil"/>
          <w:right w:val="nil"/>
          <w:between w:val="nil"/>
        </w:pBdr>
        <w:jc w:val="both"/>
        <w:rPr>
          <w:rFonts w:ascii="Roboto" w:eastAsia="Roboto" w:hAnsi="Roboto" w:cs="Roboto"/>
          <w:color w:val="000000"/>
          <w:sz w:val="20"/>
          <w:szCs w:val="20"/>
        </w:rPr>
      </w:pPr>
      <w:r w:rsidRPr="00345F5D">
        <w:rPr>
          <w:rFonts w:ascii="Roboto" w:eastAsia="Roboto" w:hAnsi="Roboto" w:cs="Roboto"/>
          <w:color w:val="000000"/>
          <w:sz w:val="20"/>
          <w:szCs w:val="20"/>
        </w:rPr>
        <w:t>El problema CLITraP-HTF surge de un caso real de una empresa que opera la distribución de materiales peligrosos líquidos en México. El sistema logístico enfrenta una demanda altamente variable, estrictas restricciones regulatorias para el transporte y el uso de una flota heterogénea de vehículos.</w:t>
      </w:r>
    </w:p>
    <w:p w14:paraId="62221DE8" w14:textId="77777777" w:rsidR="00345F5D" w:rsidRPr="00345F5D" w:rsidRDefault="00345F5D" w:rsidP="00345F5D">
      <w:pPr>
        <w:pBdr>
          <w:top w:val="nil"/>
          <w:left w:val="nil"/>
          <w:bottom w:val="nil"/>
          <w:right w:val="nil"/>
          <w:between w:val="nil"/>
        </w:pBdr>
        <w:jc w:val="both"/>
        <w:rPr>
          <w:rFonts w:ascii="Roboto" w:eastAsia="Roboto" w:hAnsi="Roboto" w:cs="Roboto"/>
          <w:color w:val="000000"/>
          <w:sz w:val="20"/>
          <w:szCs w:val="20"/>
        </w:rPr>
      </w:pPr>
    </w:p>
    <w:p w14:paraId="51E231FC" w14:textId="653F90CA" w:rsidR="00345F5D" w:rsidRPr="00345F5D" w:rsidRDefault="00345F5D" w:rsidP="00345F5D">
      <w:pPr>
        <w:pBdr>
          <w:top w:val="nil"/>
          <w:left w:val="nil"/>
          <w:bottom w:val="nil"/>
          <w:right w:val="nil"/>
          <w:between w:val="nil"/>
        </w:pBdr>
        <w:jc w:val="both"/>
        <w:rPr>
          <w:rFonts w:ascii="Roboto" w:eastAsia="Roboto" w:hAnsi="Roboto" w:cs="Roboto"/>
          <w:color w:val="000000"/>
          <w:sz w:val="20"/>
          <w:szCs w:val="20"/>
        </w:rPr>
      </w:pPr>
      <w:r w:rsidRPr="00345F5D">
        <w:rPr>
          <w:rFonts w:ascii="Roboto" w:eastAsia="Roboto" w:hAnsi="Roboto" w:cs="Roboto"/>
          <w:color w:val="000000"/>
          <w:sz w:val="20"/>
          <w:szCs w:val="20"/>
        </w:rPr>
        <w:t>La empresa distribuye el producto a través de una red que puede operar bajo estructuras de uno o dos niveles, permitiendo el suministro directo desde proveedores a clientes finales o a través de centros de distribución que pueden ser reconfigurados en periodos cortos de tiempo. Esta flexibilidad es posible debido a los bajos costos de localización y de inversión en capacidad de almacenamiento, así como al uso de tanques</w:t>
      </w:r>
      <w:r w:rsidR="006D22DE">
        <w:rPr>
          <w:rFonts w:ascii="Roboto" w:eastAsia="Roboto" w:hAnsi="Roboto" w:cs="Roboto"/>
          <w:color w:val="000000"/>
          <w:sz w:val="20"/>
          <w:szCs w:val="20"/>
        </w:rPr>
        <w:t xml:space="preserve"> de almacenamiento</w:t>
      </w:r>
      <w:r w:rsidRPr="00345F5D">
        <w:rPr>
          <w:rFonts w:ascii="Roboto" w:eastAsia="Roboto" w:hAnsi="Roboto" w:cs="Roboto"/>
          <w:color w:val="000000"/>
          <w:sz w:val="20"/>
          <w:szCs w:val="20"/>
        </w:rPr>
        <w:t xml:space="preserve"> portátiles.</w:t>
      </w:r>
    </w:p>
    <w:p w14:paraId="6DA46F2E" w14:textId="77777777" w:rsidR="00345F5D" w:rsidRPr="00345F5D" w:rsidRDefault="00345F5D" w:rsidP="00345F5D">
      <w:pPr>
        <w:pBdr>
          <w:top w:val="nil"/>
          <w:left w:val="nil"/>
          <w:bottom w:val="nil"/>
          <w:right w:val="nil"/>
          <w:between w:val="nil"/>
        </w:pBdr>
        <w:jc w:val="both"/>
        <w:rPr>
          <w:rFonts w:ascii="Roboto" w:eastAsia="Roboto" w:hAnsi="Roboto" w:cs="Roboto"/>
          <w:color w:val="000000"/>
          <w:sz w:val="20"/>
          <w:szCs w:val="20"/>
        </w:rPr>
      </w:pPr>
    </w:p>
    <w:p w14:paraId="584A215C" w14:textId="77777777" w:rsidR="00345F5D" w:rsidRPr="00345F5D" w:rsidRDefault="00345F5D" w:rsidP="00345F5D">
      <w:pPr>
        <w:pBdr>
          <w:top w:val="nil"/>
          <w:left w:val="nil"/>
          <w:bottom w:val="nil"/>
          <w:right w:val="nil"/>
          <w:between w:val="nil"/>
        </w:pBdr>
        <w:jc w:val="both"/>
        <w:rPr>
          <w:rFonts w:ascii="Roboto" w:eastAsia="Roboto" w:hAnsi="Roboto" w:cs="Roboto"/>
          <w:color w:val="000000"/>
          <w:sz w:val="20"/>
          <w:szCs w:val="20"/>
        </w:rPr>
      </w:pPr>
      <w:r w:rsidRPr="00345F5D">
        <w:rPr>
          <w:rFonts w:ascii="Roboto" w:eastAsia="Roboto" w:hAnsi="Roboto" w:cs="Roboto"/>
          <w:color w:val="000000"/>
          <w:sz w:val="20"/>
          <w:szCs w:val="20"/>
        </w:rPr>
        <w:t>El modelo CLITraP-HTF integra de manera simultánea decisiones de localización, asignación, inventarios, inversión y transporte, formulando un problema de diseño de red de distribución con flota heterogénea y alta complejidad computacional. Las restricciones operativas y regulatorias limitan las rutas disponibles y eliminan la posibilidad de ruteo multi-cliente, lo que convierte el problema en un problema de transporte y transbordo.</w:t>
      </w:r>
    </w:p>
    <w:p w14:paraId="2EEEA4C2" w14:textId="77777777" w:rsidR="00345F5D" w:rsidRPr="00345F5D" w:rsidRDefault="00345F5D" w:rsidP="00345F5D">
      <w:pPr>
        <w:pBdr>
          <w:top w:val="nil"/>
          <w:left w:val="nil"/>
          <w:bottom w:val="nil"/>
          <w:right w:val="nil"/>
          <w:between w:val="nil"/>
        </w:pBdr>
        <w:jc w:val="both"/>
        <w:rPr>
          <w:rFonts w:ascii="Roboto" w:eastAsia="Roboto" w:hAnsi="Roboto" w:cs="Roboto"/>
          <w:color w:val="000000"/>
          <w:sz w:val="20"/>
          <w:szCs w:val="20"/>
        </w:rPr>
      </w:pPr>
    </w:p>
    <w:p w14:paraId="64A7A747" w14:textId="27AC63C8" w:rsidR="00345F5D" w:rsidRDefault="00345F5D" w:rsidP="00345F5D">
      <w:pPr>
        <w:pBdr>
          <w:top w:val="nil"/>
          <w:left w:val="nil"/>
          <w:bottom w:val="nil"/>
          <w:right w:val="nil"/>
          <w:between w:val="nil"/>
        </w:pBdr>
        <w:jc w:val="both"/>
        <w:rPr>
          <w:rFonts w:ascii="Roboto" w:eastAsia="Roboto" w:hAnsi="Roboto" w:cs="Roboto"/>
          <w:color w:val="000000"/>
          <w:sz w:val="20"/>
          <w:szCs w:val="20"/>
        </w:rPr>
      </w:pPr>
      <w:r w:rsidRPr="00345F5D">
        <w:rPr>
          <w:rFonts w:ascii="Roboto" w:eastAsia="Roboto" w:hAnsi="Roboto" w:cs="Roboto"/>
          <w:color w:val="000000"/>
          <w:sz w:val="20"/>
          <w:szCs w:val="20"/>
        </w:rPr>
        <w:t>Estas características justifican tratar decisiones tradicionalmente estratégicas como decisiones tácticas, lo que hace del CLITraP-HTF un modelo integrado poco común en la literatura de diseño de redes logísticas para materiales peligrosos.</w:t>
      </w:r>
    </w:p>
    <w:p w14:paraId="1B7CC6BA" w14:textId="1CE08399" w:rsidR="006D22DE" w:rsidRDefault="006D22DE" w:rsidP="00345F5D">
      <w:pPr>
        <w:pBdr>
          <w:top w:val="nil"/>
          <w:left w:val="nil"/>
          <w:bottom w:val="nil"/>
          <w:right w:val="nil"/>
          <w:between w:val="nil"/>
        </w:pBdr>
        <w:jc w:val="both"/>
        <w:rPr>
          <w:rFonts w:ascii="Roboto" w:eastAsia="Roboto" w:hAnsi="Roboto" w:cs="Roboto"/>
          <w:color w:val="000000"/>
          <w:sz w:val="20"/>
          <w:szCs w:val="20"/>
        </w:rPr>
      </w:pPr>
    </w:p>
    <w:p w14:paraId="76B5C048" w14:textId="77777777" w:rsidR="006D22DE" w:rsidRPr="006D22DE" w:rsidRDefault="006D22DE" w:rsidP="006D22DE">
      <w:pPr>
        <w:pBdr>
          <w:top w:val="nil"/>
          <w:left w:val="nil"/>
          <w:bottom w:val="nil"/>
          <w:right w:val="nil"/>
          <w:between w:val="nil"/>
        </w:pBdr>
        <w:jc w:val="both"/>
        <w:rPr>
          <w:rFonts w:ascii="Roboto" w:eastAsia="Roboto" w:hAnsi="Roboto" w:cs="Roboto"/>
          <w:color w:val="000000"/>
          <w:sz w:val="20"/>
          <w:szCs w:val="20"/>
        </w:rPr>
      </w:pPr>
      <w:r w:rsidRPr="006D22DE">
        <w:rPr>
          <w:rFonts w:ascii="Roboto" w:eastAsia="Roboto" w:hAnsi="Roboto" w:cs="Roboto"/>
          <w:color w:val="000000"/>
          <w:sz w:val="20"/>
          <w:szCs w:val="20"/>
        </w:rPr>
        <w:t xml:space="preserve">El modelo CLITraP-HTF minimiza el costo total de operación de la red a lo largo de un horizonte de </w:t>
      </w:r>
      <w:r w:rsidRPr="006D22DE">
        <w:rPr>
          <w:rFonts w:ascii="Roboto" w:eastAsia="Roboto" w:hAnsi="Roboto" w:cs="Roboto"/>
          <w:color w:val="000000"/>
          <w:sz w:val="20"/>
          <w:szCs w:val="20"/>
        </w:rPr>
        <w:lastRenderedPageBreak/>
        <w:t>planeación, integrando costos de transporte, inversión en capacidad, localización de centros de distribución e inventarios. La estructura de costos incorpora, de manera agregada, componentes de adquisición, mantenimiento, órdenes y faltantes, considerando demanda estocástica y requerimientos de inventario operativo y nivel de servicio.</w:t>
      </w:r>
    </w:p>
    <w:p w14:paraId="359E9227" w14:textId="77777777" w:rsidR="006D22DE" w:rsidRPr="006D22DE" w:rsidRDefault="006D22DE" w:rsidP="006D22DE">
      <w:pPr>
        <w:pBdr>
          <w:top w:val="nil"/>
          <w:left w:val="nil"/>
          <w:bottom w:val="nil"/>
          <w:right w:val="nil"/>
          <w:between w:val="nil"/>
        </w:pBdr>
        <w:jc w:val="both"/>
        <w:rPr>
          <w:rFonts w:ascii="Roboto" w:eastAsia="Roboto" w:hAnsi="Roboto" w:cs="Roboto"/>
          <w:color w:val="000000"/>
          <w:sz w:val="20"/>
          <w:szCs w:val="20"/>
        </w:rPr>
      </w:pPr>
    </w:p>
    <w:p w14:paraId="6C2536A2" w14:textId="1F59AFB9" w:rsidR="006D22DE" w:rsidRDefault="006D22DE" w:rsidP="006D22DE">
      <w:pPr>
        <w:pBdr>
          <w:top w:val="nil"/>
          <w:left w:val="nil"/>
          <w:bottom w:val="nil"/>
          <w:right w:val="nil"/>
          <w:between w:val="nil"/>
        </w:pBdr>
        <w:jc w:val="both"/>
        <w:rPr>
          <w:rFonts w:ascii="Roboto" w:eastAsia="Roboto" w:hAnsi="Roboto" w:cs="Roboto"/>
          <w:color w:val="000000"/>
          <w:sz w:val="20"/>
          <w:szCs w:val="20"/>
        </w:rPr>
      </w:pPr>
      <w:r w:rsidRPr="006D22DE">
        <w:rPr>
          <w:rFonts w:ascii="Roboto" w:eastAsia="Roboto" w:hAnsi="Roboto" w:cs="Roboto"/>
          <w:color w:val="000000"/>
          <w:sz w:val="20"/>
          <w:szCs w:val="20"/>
        </w:rPr>
        <w:t>La formulación incluye restricciones que determinan el número de centros de distribución, la asignación de cada instalación demandante a un único centro o a un proveedor, y la consistencia de la estructura de red (suministro directo o vía centros de distribución). Adicionalmente, se incorporan restricciones de capacidad de almacenamiento y de oferta, así como restricciones de transporte asociadas a la flota heterogénea, asegurando que los embarques respeten la capacidad vehicular y la operación de un solo cliente por viaje. Finalmente, se definen variables binarias de configuración y asignación, variables enteras para el número de embarques, y variables continuas para cantidades y niveles de inventario, sujetas a no negatividad y a límites de nivel de servicio.</w:t>
      </w:r>
    </w:p>
    <w:p w14:paraId="5355C1D7" w14:textId="77777777" w:rsidR="008E54ED" w:rsidRDefault="008E54ED">
      <w:pPr>
        <w:pBdr>
          <w:top w:val="nil"/>
          <w:left w:val="nil"/>
          <w:bottom w:val="nil"/>
          <w:right w:val="nil"/>
          <w:between w:val="nil"/>
        </w:pBdr>
        <w:jc w:val="both"/>
        <w:rPr>
          <w:rFonts w:ascii="Roboto" w:eastAsia="Roboto" w:hAnsi="Roboto" w:cs="Roboto"/>
          <w:b/>
          <w:color w:val="000000"/>
          <w:sz w:val="20"/>
          <w:szCs w:val="20"/>
        </w:rPr>
      </w:pPr>
    </w:p>
    <w:p w14:paraId="1BFA431A" w14:textId="60F3F48A" w:rsidR="008E54ED" w:rsidRDefault="00E14DDA">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DESCRIPCIÓN DE LA ESTRATEGIA HEURÍSTICA DE SOLUCIÓN</w:t>
      </w:r>
    </w:p>
    <w:p w14:paraId="361DBB9B" w14:textId="71B4A027" w:rsidR="0098560C" w:rsidRPr="0098560C" w:rsidRDefault="0098560C" w:rsidP="0098560C">
      <w:pPr>
        <w:pBdr>
          <w:top w:val="nil"/>
          <w:left w:val="nil"/>
          <w:bottom w:val="nil"/>
          <w:right w:val="nil"/>
          <w:between w:val="nil"/>
        </w:pBdr>
        <w:jc w:val="both"/>
        <w:rPr>
          <w:rFonts w:ascii="Roboto" w:eastAsia="Roboto" w:hAnsi="Roboto" w:cs="Roboto"/>
          <w:color w:val="000000"/>
          <w:sz w:val="20"/>
          <w:szCs w:val="20"/>
        </w:rPr>
      </w:pPr>
      <w:r w:rsidRPr="00F85FAF">
        <w:rPr>
          <w:rFonts w:ascii="Roboto" w:eastAsia="Roboto" w:hAnsi="Roboto" w:cs="Roboto"/>
          <w:color w:val="000000"/>
          <w:sz w:val="20"/>
          <w:szCs w:val="20"/>
        </w:rPr>
        <w:t>Dado que el problema CLITraP-HTF es NP-hard</w:t>
      </w:r>
      <w:r w:rsidR="00963588" w:rsidRPr="00F85FAF">
        <w:rPr>
          <w:rFonts w:ascii="Roboto" w:eastAsia="Roboto" w:hAnsi="Roboto" w:cs="Roboto"/>
          <w:color w:val="000000"/>
          <w:sz w:val="20"/>
          <w:szCs w:val="20"/>
        </w:rPr>
        <w:t xml:space="preserve"> (Carmona-Benítez, 2020)</w:t>
      </w:r>
      <w:r w:rsidRPr="00F85FAF">
        <w:rPr>
          <w:rFonts w:ascii="Roboto" w:eastAsia="Roboto" w:hAnsi="Roboto" w:cs="Roboto"/>
          <w:color w:val="000000"/>
          <w:sz w:val="20"/>
          <w:szCs w:val="20"/>
        </w:rPr>
        <w:t>, se</w:t>
      </w:r>
      <w:r w:rsidRPr="0098560C">
        <w:rPr>
          <w:rFonts w:ascii="Roboto" w:eastAsia="Roboto" w:hAnsi="Roboto" w:cs="Roboto"/>
          <w:color w:val="000000"/>
          <w:sz w:val="20"/>
          <w:szCs w:val="20"/>
        </w:rPr>
        <w:t xml:space="preserve"> propone una estrategia heurística de solución basada en la descomposición del problema en tres fases. La heurística está diseñada para resolver instancias de distinta escala bajo restricciones operativas reales.</w:t>
      </w:r>
    </w:p>
    <w:p w14:paraId="2DB2F3B7" w14:textId="77777777" w:rsidR="0098560C" w:rsidRPr="0098560C" w:rsidRDefault="0098560C" w:rsidP="0098560C">
      <w:pPr>
        <w:pBdr>
          <w:top w:val="nil"/>
          <w:left w:val="nil"/>
          <w:bottom w:val="nil"/>
          <w:right w:val="nil"/>
          <w:between w:val="nil"/>
        </w:pBdr>
        <w:jc w:val="both"/>
        <w:rPr>
          <w:rFonts w:ascii="Roboto" w:eastAsia="Roboto" w:hAnsi="Roboto" w:cs="Roboto"/>
          <w:color w:val="000000"/>
          <w:sz w:val="20"/>
          <w:szCs w:val="20"/>
        </w:rPr>
      </w:pPr>
    </w:p>
    <w:p w14:paraId="453C751E" w14:textId="77777777" w:rsidR="0098560C" w:rsidRPr="0098560C" w:rsidRDefault="0098560C" w:rsidP="0098560C">
      <w:pPr>
        <w:pBdr>
          <w:top w:val="nil"/>
          <w:left w:val="nil"/>
          <w:bottom w:val="nil"/>
          <w:right w:val="nil"/>
          <w:between w:val="nil"/>
        </w:pBdr>
        <w:jc w:val="both"/>
        <w:rPr>
          <w:rFonts w:ascii="Roboto" w:eastAsia="Roboto" w:hAnsi="Roboto" w:cs="Roboto"/>
          <w:color w:val="000000"/>
          <w:sz w:val="20"/>
          <w:szCs w:val="20"/>
        </w:rPr>
      </w:pPr>
      <w:r w:rsidRPr="0098560C">
        <w:rPr>
          <w:rFonts w:ascii="Roboto" w:eastAsia="Roboto" w:hAnsi="Roboto" w:cs="Roboto"/>
          <w:color w:val="000000"/>
          <w:sz w:val="20"/>
          <w:szCs w:val="20"/>
        </w:rPr>
        <w:t>En la primera fase se determinan decisiones iniciales de localización de centros de distribución, construyendo configuraciones preliminares de la red. En la segunda fase se mejoran estas configuraciones mediante decisiones de asignación entre proveedores, centros de distribución y clientes finales, incorporando características de la demanda y restricciones del sistema de transporte.</w:t>
      </w:r>
    </w:p>
    <w:p w14:paraId="3B65DE3C" w14:textId="77777777" w:rsidR="0098560C" w:rsidRPr="0098560C" w:rsidRDefault="0098560C" w:rsidP="0098560C">
      <w:pPr>
        <w:pBdr>
          <w:top w:val="nil"/>
          <w:left w:val="nil"/>
          <w:bottom w:val="nil"/>
          <w:right w:val="nil"/>
          <w:between w:val="nil"/>
        </w:pBdr>
        <w:jc w:val="both"/>
        <w:rPr>
          <w:rFonts w:ascii="Roboto" w:eastAsia="Roboto" w:hAnsi="Roboto" w:cs="Roboto"/>
          <w:color w:val="000000"/>
          <w:sz w:val="20"/>
          <w:szCs w:val="20"/>
        </w:rPr>
      </w:pPr>
    </w:p>
    <w:p w14:paraId="4E0B7192" w14:textId="77777777" w:rsidR="0098560C" w:rsidRPr="0098560C" w:rsidRDefault="0098560C" w:rsidP="0098560C">
      <w:pPr>
        <w:pBdr>
          <w:top w:val="nil"/>
          <w:left w:val="nil"/>
          <w:bottom w:val="nil"/>
          <w:right w:val="nil"/>
          <w:between w:val="nil"/>
        </w:pBdr>
        <w:jc w:val="both"/>
        <w:rPr>
          <w:rFonts w:ascii="Roboto" w:eastAsia="Roboto" w:hAnsi="Roboto" w:cs="Roboto"/>
          <w:color w:val="000000"/>
          <w:sz w:val="20"/>
          <w:szCs w:val="20"/>
        </w:rPr>
      </w:pPr>
      <w:r w:rsidRPr="0098560C">
        <w:rPr>
          <w:rFonts w:ascii="Roboto" w:eastAsia="Roboto" w:hAnsi="Roboto" w:cs="Roboto"/>
          <w:color w:val="000000"/>
          <w:sz w:val="20"/>
          <w:szCs w:val="20"/>
        </w:rPr>
        <w:t>En la tercera fase se optimizan de manera conjunta las decisiones de transporte, inventarios e inversión en capacidad para cada configuración de red generada, considerando distintas estrategias de gestión de inventarios. La solución final se selecciona comparando el costo total de las configuraciones factibles, eligiendo aquella que presenta el mejor desempeño global.</w:t>
      </w:r>
    </w:p>
    <w:p w14:paraId="2810DCB6" w14:textId="77777777" w:rsidR="0098560C" w:rsidRPr="0098560C" w:rsidRDefault="0098560C" w:rsidP="0098560C">
      <w:pPr>
        <w:pBdr>
          <w:top w:val="nil"/>
          <w:left w:val="nil"/>
          <w:bottom w:val="nil"/>
          <w:right w:val="nil"/>
          <w:between w:val="nil"/>
        </w:pBdr>
        <w:jc w:val="both"/>
        <w:rPr>
          <w:rFonts w:ascii="Roboto" w:eastAsia="Roboto" w:hAnsi="Roboto" w:cs="Roboto"/>
          <w:color w:val="000000"/>
          <w:sz w:val="20"/>
          <w:szCs w:val="20"/>
        </w:rPr>
      </w:pPr>
    </w:p>
    <w:p w14:paraId="22775779" w14:textId="3332261D" w:rsidR="008E54ED" w:rsidRDefault="0098560C" w:rsidP="0098560C">
      <w:pPr>
        <w:pBdr>
          <w:top w:val="nil"/>
          <w:left w:val="nil"/>
          <w:bottom w:val="nil"/>
          <w:right w:val="nil"/>
          <w:between w:val="nil"/>
        </w:pBdr>
        <w:jc w:val="both"/>
        <w:rPr>
          <w:rFonts w:ascii="Roboto" w:eastAsia="Roboto" w:hAnsi="Roboto" w:cs="Roboto"/>
          <w:color w:val="000000"/>
          <w:sz w:val="20"/>
          <w:szCs w:val="20"/>
        </w:rPr>
      </w:pPr>
      <w:r w:rsidRPr="0098560C">
        <w:rPr>
          <w:rFonts w:ascii="Roboto" w:eastAsia="Roboto" w:hAnsi="Roboto" w:cs="Roboto"/>
          <w:color w:val="000000"/>
          <w:sz w:val="20"/>
          <w:szCs w:val="20"/>
        </w:rPr>
        <w:t>Este enfoque permite hacer operable el modelo CLITraP-HTF en contextos logísticos reales, manteniendo consistencia con las restricciones regulatorias y las condiciones observadas en el caso de estudio.</w:t>
      </w:r>
    </w:p>
    <w:p w14:paraId="57637D05" w14:textId="77777777" w:rsidR="008E54ED" w:rsidRDefault="008E54ED">
      <w:pPr>
        <w:pBdr>
          <w:top w:val="nil"/>
          <w:left w:val="nil"/>
          <w:bottom w:val="nil"/>
          <w:right w:val="nil"/>
          <w:between w:val="nil"/>
        </w:pBdr>
        <w:jc w:val="both"/>
        <w:rPr>
          <w:rFonts w:ascii="Roboto" w:eastAsia="Roboto" w:hAnsi="Roboto" w:cs="Roboto"/>
          <w:color w:val="000000"/>
          <w:sz w:val="20"/>
          <w:szCs w:val="20"/>
        </w:rPr>
      </w:pPr>
    </w:p>
    <w:p w14:paraId="1EC00E46" w14:textId="09325FAC" w:rsidR="008E54ED" w:rsidRDefault="001447D8">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CONCLUSIONES Y TRABAJO FUTURO</w:t>
      </w:r>
    </w:p>
    <w:p w14:paraId="3201890D" w14:textId="77777777" w:rsidR="003D6321" w:rsidRPr="003D6321" w:rsidRDefault="003D6321" w:rsidP="003D6321">
      <w:pPr>
        <w:pBdr>
          <w:top w:val="nil"/>
          <w:left w:val="nil"/>
          <w:bottom w:val="nil"/>
          <w:right w:val="nil"/>
          <w:between w:val="nil"/>
        </w:pBdr>
        <w:jc w:val="both"/>
        <w:rPr>
          <w:rFonts w:ascii="Roboto" w:eastAsia="Roboto" w:hAnsi="Roboto" w:cs="Roboto"/>
          <w:color w:val="000000"/>
          <w:sz w:val="20"/>
          <w:szCs w:val="20"/>
        </w:rPr>
      </w:pPr>
      <w:r w:rsidRPr="003D6321">
        <w:rPr>
          <w:rFonts w:ascii="Roboto" w:eastAsia="Roboto" w:hAnsi="Roboto" w:cs="Roboto"/>
          <w:color w:val="000000"/>
          <w:sz w:val="20"/>
          <w:szCs w:val="20"/>
        </w:rPr>
        <w:t xml:space="preserve">Este trabajo presenta un enfoque integrado para el diseño y operación de redes logísticas de materiales peligrosos líquidos, a partir de un caso real que refleja </w:t>
      </w:r>
      <w:r w:rsidRPr="003D6321">
        <w:rPr>
          <w:rFonts w:ascii="Roboto" w:eastAsia="Roboto" w:hAnsi="Roboto" w:cs="Roboto"/>
          <w:color w:val="000000"/>
          <w:sz w:val="20"/>
          <w:szCs w:val="20"/>
        </w:rPr>
        <w:t>condiciones operativas y regulatorias relevantes. El modelo CLITraP-HTF permite representar de manera conjunta decisiones de localización, asignación, inventarios, inversión y transporte, abordando una limitación frecuente en la literatura asociada al tratamiento fragmentado de estas decisiones. Asimismo, la estrategia heurística propuesta hace viable la aplicación del modelo en contextos logísticos reales, al permitir la obtención de soluciones factibles bajo restricciones operativas y de escala.</w:t>
      </w:r>
    </w:p>
    <w:p w14:paraId="7FF398FA" w14:textId="77777777" w:rsidR="003D6321" w:rsidRPr="003D6321" w:rsidRDefault="003D6321" w:rsidP="003D6321">
      <w:pPr>
        <w:pBdr>
          <w:top w:val="nil"/>
          <w:left w:val="nil"/>
          <w:bottom w:val="nil"/>
          <w:right w:val="nil"/>
          <w:between w:val="nil"/>
        </w:pBdr>
        <w:jc w:val="both"/>
        <w:rPr>
          <w:rFonts w:ascii="Roboto" w:eastAsia="Roboto" w:hAnsi="Roboto" w:cs="Roboto"/>
          <w:color w:val="000000"/>
          <w:sz w:val="20"/>
          <w:szCs w:val="20"/>
        </w:rPr>
      </w:pPr>
    </w:p>
    <w:p w14:paraId="3377A742" w14:textId="2A4CB083" w:rsidR="003D6321" w:rsidRDefault="003D6321" w:rsidP="003D6321">
      <w:pPr>
        <w:pBdr>
          <w:top w:val="nil"/>
          <w:left w:val="nil"/>
          <w:bottom w:val="nil"/>
          <w:right w:val="nil"/>
          <w:between w:val="nil"/>
        </w:pBdr>
        <w:jc w:val="both"/>
        <w:rPr>
          <w:rFonts w:ascii="Roboto" w:eastAsia="Roboto" w:hAnsi="Roboto" w:cs="Roboto"/>
          <w:color w:val="000000"/>
          <w:sz w:val="20"/>
          <w:szCs w:val="20"/>
        </w:rPr>
      </w:pPr>
      <w:r w:rsidRPr="003D6321">
        <w:rPr>
          <w:rFonts w:ascii="Roboto" w:eastAsia="Roboto" w:hAnsi="Roboto" w:cs="Roboto"/>
          <w:color w:val="000000"/>
          <w:sz w:val="20"/>
          <w:szCs w:val="20"/>
        </w:rPr>
        <w:t>Como trabajo futuro, se contempla la extensión del modelo para incorporar esquemas de colaboración interinstitucional, así como la adaptación del enfoque a otros contextos logísticos y regulatorios dentro de las universidades que integran la RIU. Asimismo, se prevé el análisis comparativo de distintas políticas operativas y estrategias de servicio, así como la evaluación del desempeño del modelo en escenarios alternativos de demanda y estructura de red, con el objetivo de fortalecer su aplicabilidad como herramienta de apoyo a la toma de decisiones en logística de materiales peligrosos.</w:t>
      </w:r>
    </w:p>
    <w:p w14:paraId="5B1C6E20" w14:textId="77777777" w:rsidR="003D6321" w:rsidRDefault="003D6321" w:rsidP="003D6321">
      <w:pPr>
        <w:pBdr>
          <w:top w:val="nil"/>
          <w:left w:val="nil"/>
          <w:bottom w:val="nil"/>
          <w:right w:val="nil"/>
          <w:between w:val="nil"/>
        </w:pBdr>
        <w:jc w:val="both"/>
        <w:rPr>
          <w:rFonts w:ascii="Roboto" w:eastAsia="Roboto" w:hAnsi="Roboto" w:cs="Roboto"/>
          <w:sz w:val="20"/>
          <w:szCs w:val="20"/>
        </w:rPr>
      </w:pPr>
    </w:p>
    <w:p w14:paraId="00E43CF1" w14:textId="77777777" w:rsidR="008E54ED" w:rsidRDefault="00005B10">
      <w:pPr>
        <w:jc w:val="both"/>
        <w:rPr>
          <w:rFonts w:ascii="Roboto" w:eastAsia="Roboto" w:hAnsi="Roboto" w:cs="Roboto"/>
          <w:b/>
          <w:sz w:val="20"/>
          <w:szCs w:val="20"/>
        </w:rPr>
      </w:pPr>
      <w:r>
        <w:rPr>
          <w:rFonts w:ascii="Roboto" w:eastAsia="Roboto" w:hAnsi="Roboto" w:cs="Roboto"/>
          <w:b/>
          <w:sz w:val="20"/>
          <w:szCs w:val="20"/>
        </w:rPr>
        <w:t>REFERENCIAS (Formato APA)</w:t>
      </w:r>
    </w:p>
    <w:p w14:paraId="71DECE60" w14:textId="77777777" w:rsidR="00A4099D" w:rsidRPr="00A4099D" w:rsidRDefault="00A4099D" w:rsidP="00A4099D">
      <w:pPr>
        <w:jc w:val="both"/>
        <w:rPr>
          <w:rFonts w:ascii="Roboto" w:eastAsia="Roboto" w:hAnsi="Roboto" w:cs="Roboto"/>
          <w:sz w:val="20"/>
          <w:szCs w:val="20"/>
          <w:lang w:val="en-US"/>
        </w:rPr>
      </w:pPr>
      <w:r w:rsidRPr="00F85FAF">
        <w:rPr>
          <w:rFonts w:ascii="Roboto" w:eastAsia="Roboto" w:hAnsi="Roboto" w:cs="Roboto"/>
          <w:sz w:val="20"/>
          <w:szCs w:val="20"/>
        </w:rPr>
        <w:t xml:space="preserve">Erkut, E., Tjandra, A. S., &amp; Verter, V. (2007). </w:t>
      </w:r>
      <w:r w:rsidRPr="00A4099D">
        <w:rPr>
          <w:rFonts w:ascii="Roboto" w:eastAsia="Roboto" w:hAnsi="Roboto" w:cs="Roboto"/>
          <w:sz w:val="20"/>
          <w:szCs w:val="20"/>
          <w:lang w:val="en-US"/>
        </w:rPr>
        <w:t xml:space="preserve">Hazardous materials transportation. In C. Barnhart &amp; G. Laporte (Eds.), Handbooks in operations research and management science (Vol. 14, pp. 539–621). Elsevier. </w:t>
      </w:r>
    </w:p>
    <w:p w14:paraId="0BA01EEE" w14:textId="77777777" w:rsidR="00A4099D" w:rsidRPr="00A4099D" w:rsidRDefault="00A4099D" w:rsidP="00A4099D">
      <w:pPr>
        <w:jc w:val="both"/>
        <w:rPr>
          <w:rFonts w:ascii="Roboto" w:eastAsia="Roboto" w:hAnsi="Roboto" w:cs="Roboto"/>
          <w:sz w:val="20"/>
          <w:szCs w:val="20"/>
          <w:lang w:val="en-US"/>
        </w:rPr>
      </w:pPr>
      <w:r w:rsidRPr="00A4099D">
        <w:rPr>
          <w:rFonts w:ascii="Roboto" w:eastAsia="Roboto" w:hAnsi="Roboto" w:cs="Roboto"/>
          <w:sz w:val="20"/>
          <w:szCs w:val="20"/>
          <w:lang w:val="en-US"/>
        </w:rPr>
        <w:t xml:space="preserve">https://doi.org/10.1016/S0927-0507(06)14009-8 </w:t>
      </w:r>
    </w:p>
    <w:p w14:paraId="18CF533A" w14:textId="77777777" w:rsidR="00A4099D" w:rsidRPr="00A4099D" w:rsidRDefault="00A4099D" w:rsidP="00A4099D">
      <w:pPr>
        <w:jc w:val="both"/>
        <w:rPr>
          <w:rFonts w:ascii="Roboto" w:eastAsia="Roboto" w:hAnsi="Roboto" w:cs="Roboto"/>
          <w:sz w:val="20"/>
          <w:szCs w:val="20"/>
          <w:lang w:val="en-US"/>
        </w:rPr>
      </w:pPr>
      <w:r w:rsidRPr="00A4099D">
        <w:rPr>
          <w:rFonts w:ascii="Roboto" w:eastAsia="Roboto" w:hAnsi="Roboto" w:cs="Roboto"/>
          <w:sz w:val="20"/>
          <w:szCs w:val="20"/>
          <w:lang w:val="en-US"/>
        </w:rPr>
        <w:t xml:space="preserve">Hu, H., Li, J., &amp; Li, X. A. (2018). Credibilistic goal programming model for inventory routing problem with hazardous materials. Soft Computing, 22, 5803–5816. https://doi.org/10.1007/s00500-017-2663-y </w:t>
      </w:r>
    </w:p>
    <w:p w14:paraId="64B8857A" w14:textId="77777777" w:rsidR="00A4099D" w:rsidRPr="00A4099D" w:rsidRDefault="00A4099D" w:rsidP="00A4099D">
      <w:pPr>
        <w:jc w:val="both"/>
        <w:rPr>
          <w:rFonts w:ascii="Roboto" w:eastAsia="Roboto" w:hAnsi="Roboto" w:cs="Roboto"/>
          <w:sz w:val="20"/>
          <w:szCs w:val="20"/>
          <w:lang w:val="en-US"/>
        </w:rPr>
      </w:pPr>
      <w:r w:rsidRPr="00A4099D">
        <w:rPr>
          <w:rFonts w:ascii="Roboto" w:eastAsia="Roboto" w:hAnsi="Roboto" w:cs="Roboto"/>
          <w:sz w:val="20"/>
          <w:szCs w:val="20"/>
          <w:lang w:val="en-US"/>
        </w:rPr>
        <w:t>Yilmaz, Z., Erol, S., &amp; Aplak, H. S. (2016). Transport of hazardous materials (hazmat): A literature survey.  Pamukkale University Journal of Engineering Sciences, 22(1), 39–53. https://doi.org/10.5505/pajes.2015.62134 Transportation Research Board. (2005). Special Report 283: Cooperative Research for Hazardous Materials Transportation. National Research Council.</w:t>
      </w:r>
    </w:p>
    <w:p w14:paraId="15E57602" w14:textId="77777777" w:rsidR="00A4099D" w:rsidRPr="00A4099D" w:rsidRDefault="00A4099D" w:rsidP="00A4099D">
      <w:pPr>
        <w:jc w:val="both"/>
        <w:rPr>
          <w:rFonts w:ascii="Roboto" w:eastAsia="Roboto" w:hAnsi="Roboto" w:cs="Roboto"/>
          <w:sz w:val="20"/>
          <w:szCs w:val="20"/>
        </w:rPr>
      </w:pPr>
      <w:r w:rsidRPr="00A4099D">
        <w:rPr>
          <w:rFonts w:ascii="Roboto" w:eastAsia="Roboto" w:hAnsi="Roboto" w:cs="Roboto"/>
          <w:sz w:val="20"/>
          <w:szCs w:val="20"/>
          <w:lang w:val="en-US"/>
        </w:rPr>
        <w:t xml:space="preserve">Carmona-Benítez, R. B. (2020). Dimensionality-reduction procedure for the capacitated p-median transportation inventory problem. </w:t>
      </w:r>
      <w:r w:rsidRPr="00A4099D">
        <w:rPr>
          <w:rFonts w:ascii="Roboto" w:eastAsia="Roboto" w:hAnsi="Roboto" w:cs="Roboto"/>
          <w:sz w:val="20"/>
          <w:szCs w:val="20"/>
        </w:rPr>
        <w:t>Mathematics, 8(4), 471.</w:t>
      </w:r>
    </w:p>
    <w:p w14:paraId="6881C4C8" w14:textId="1EECF8A8" w:rsidR="008E54ED" w:rsidRDefault="00A4099D" w:rsidP="00A4099D">
      <w:pPr>
        <w:jc w:val="both"/>
        <w:rPr>
          <w:rFonts w:ascii="Roboto" w:eastAsia="Roboto" w:hAnsi="Roboto" w:cs="Roboto"/>
        </w:rPr>
      </w:pPr>
      <w:r w:rsidRPr="00A4099D">
        <w:rPr>
          <w:rFonts w:ascii="Roboto" w:eastAsia="Roboto" w:hAnsi="Roboto" w:cs="Roboto"/>
          <w:sz w:val="20"/>
          <w:szCs w:val="20"/>
        </w:rPr>
        <w:t>https://doi.org/10.3390/math8040471</w:t>
      </w:r>
      <w:r w:rsidR="00005B10">
        <w:rPr>
          <w:rFonts w:ascii="Roboto" w:eastAsia="Roboto" w:hAnsi="Roboto" w:cs="Roboto"/>
          <w:sz w:val="20"/>
          <w:szCs w:val="20"/>
        </w:rPr>
        <w:t>.</w:t>
      </w:r>
    </w:p>
    <w:sectPr w:rsidR="008E54ED">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7FBBE5" w14:textId="77777777" w:rsidR="00AD608F" w:rsidRDefault="00AD608F">
      <w:r>
        <w:separator/>
      </w:r>
    </w:p>
  </w:endnote>
  <w:endnote w:type="continuationSeparator" w:id="0">
    <w:p w14:paraId="5B5E7167" w14:textId="77777777" w:rsidR="00AD608F" w:rsidRDefault="00AD60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9301ADC9-6348-4090-81A0-6C177ADD5D91}"/>
  </w:font>
  <w:font w:name="Georgia">
    <w:panose1 w:val="02040502050405020303"/>
    <w:charset w:val="00"/>
    <w:family w:val="roman"/>
    <w:pitch w:val="variable"/>
    <w:sig w:usb0="00000287" w:usb1="00000000" w:usb2="00000000" w:usb3="00000000" w:csb0="0000009F" w:csb1="00000000"/>
    <w:embedRegular r:id="rId2" w:fontKey="{DB7FF3A9-6755-4C95-AFF4-2A39F3FA22C8}"/>
    <w:embedItalic r:id="rId3" w:fontKey="{1B97E95B-A348-4C94-A3C9-73B3C7675491}"/>
  </w:font>
  <w:font w:name="Roboto">
    <w:altName w:val="Arial"/>
    <w:charset w:val="00"/>
    <w:family w:val="auto"/>
    <w:pitch w:val="variable"/>
    <w:sig w:usb0="E0000AFF" w:usb1="5000217F" w:usb2="00000021" w:usb3="00000000" w:csb0="0000019F" w:csb1="00000000"/>
    <w:embedRegular r:id="rId4" w:fontKey="{0DCD53D4-5CA9-47B2-B5D9-D731C345946B}"/>
    <w:embedBold r:id="rId5" w:fontKey="{B7E49E4C-EFAB-453E-A0B5-067AD6B754AB}"/>
  </w:font>
  <w:font w:name="Calibri Light">
    <w:panose1 w:val="020F0302020204030204"/>
    <w:charset w:val="00"/>
    <w:family w:val="swiss"/>
    <w:pitch w:val="variable"/>
    <w:sig w:usb0="E4002EFF" w:usb1="C200247B" w:usb2="00000009" w:usb3="00000000" w:csb0="000001FF" w:csb1="00000000"/>
    <w:embedRegular r:id="rId6" w:fontKey="{30D04EA4-8237-4DB0-B790-A0EF0E2D2C02}"/>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64ADC1" w14:textId="77777777" w:rsidR="00AD608F" w:rsidRDefault="00AD608F">
      <w:r>
        <w:separator/>
      </w:r>
    </w:p>
  </w:footnote>
  <w:footnote w:type="continuationSeparator" w:id="0">
    <w:p w14:paraId="1098966E" w14:textId="77777777" w:rsidR="00AD608F" w:rsidRDefault="00AD60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AEFDF4" w14:textId="77777777" w:rsidR="008E54ED" w:rsidRDefault="008E54ED">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8E54ED" w14:paraId="11694B6D" w14:textId="77777777">
      <w:trPr>
        <w:trHeight w:val="345"/>
        <w:jc w:val="center"/>
      </w:trPr>
      <w:tc>
        <w:tcPr>
          <w:tcW w:w="6306" w:type="dxa"/>
          <w:vAlign w:val="center"/>
        </w:tcPr>
        <w:p w14:paraId="145163AB" w14:textId="77777777" w:rsidR="008E54ED" w:rsidRDefault="008E54ED">
          <w:pPr>
            <w:jc w:val="center"/>
            <w:rPr>
              <w:i/>
              <w:sz w:val="18"/>
              <w:szCs w:val="18"/>
            </w:rPr>
          </w:pPr>
        </w:p>
      </w:tc>
    </w:tr>
  </w:tbl>
  <w:p w14:paraId="0F7F3FD6" w14:textId="77777777" w:rsidR="008E54ED" w:rsidRDefault="008E54ED">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54ED"/>
    <w:rsid w:val="00005B10"/>
    <w:rsid w:val="001447D8"/>
    <w:rsid w:val="001737A6"/>
    <w:rsid w:val="002075C5"/>
    <w:rsid w:val="002D1742"/>
    <w:rsid w:val="003456B2"/>
    <w:rsid w:val="00345F5D"/>
    <w:rsid w:val="003477E6"/>
    <w:rsid w:val="003C519F"/>
    <w:rsid w:val="003D6321"/>
    <w:rsid w:val="00492831"/>
    <w:rsid w:val="004D4E6C"/>
    <w:rsid w:val="005167E8"/>
    <w:rsid w:val="005757F3"/>
    <w:rsid w:val="00623B6E"/>
    <w:rsid w:val="006C7C82"/>
    <w:rsid w:val="006D22DE"/>
    <w:rsid w:val="006F3092"/>
    <w:rsid w:val="00785BAD"/>
    <w:rsid w:val="007F7C56"/>
    <w:rsid w:val="008E54ED"/>
    <w:rsid w:val="00963588"/>
    <w:rsid w:val="009649B9"/>
    <w:rsid w:val="0098560C"/>
    <w:rsid w:val="00A4099D"/>
    <w:rsid w:val="00AD608F"/>
    <w:rsid w:val="00B25212"/>
    <w:rsid w:val="00B456F8"/>
    <w:rsid w:val="00C35D48"/>
    <w:rsid w:val="00CA01F6"/>
    <w:rsid w:val="00D168AA"/>
    <w:rsid w:val="00D40503"/>
    <w:rsid w:val="00DC21DF"/>
    <w:rsid w:val="00E14DDA"/>
    <w:rsid w:val="00F85FAF"/>
    <w:rsid w:val="00FB733F"/>
    <w:rsid w:val="00FC16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01409E"/>
  <w15:docId w15:val="{7C22BF04-E987-4B47-9DA0-50E6D39CFD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sz w:val="72"/>
      <w:szCs w:val="72"/>
    </w:rPr>
  </w:style>
  <w:style w:type="table" w:customStyle="1" w:styleId="TableNormal1">
    <w:name w:val="TableNormal"/>
    <w:tblPr>
      <w:tblCellMar>
        <w:top w:w="100" w:type="dxa"/>
        <w:left w:w="100" w:type="dxa"/>
        <w:bottom w:w="100" w:type="dxa"/>
        <w:right w:w="100" w:type="dxa"/>
      </w:tblCellMar>
    </w:tblPr>
  </w:style>
  <w:style w:type="paragraph" w:styleId="Header">
    <w:name w:val="header"/>
    <w:basedOn w:val="Normal"/>
    <w:link w:val="HeaderCh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HeaderChar">
    <w:name w:val="Header Char"/>
    <w:basedOn w:val="DefaultParagraphFont"/>
    <w:link w:val="Header"/>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CommentText">
    <w:name w:val="annotation text"/>
    <w:basedOn w:val="Normal"/>
    <w:link w:val="CommentTextChar"/>
    <w:rsid w:val="005625FC"/>
    <w:rPr>
      <w:sz w:val="20"/>
      <w:szCs w:val="20"/>
    </w:rPr>
  </w:style>
  <w:style w:type="character" w:customStyle="1" w:styleId="CommentTextChar">
    <w:name w:val="Comment Text Char"/>
    <w:basedOn w:val="DefaultParagraphFont"/>
    <w:link w:val="CommentText"/>
    <w:rsid w:val="005625FC"/>
    <w:rPr>
      <w:rFonts w:ascii="Times New Roman" w:eastAsia="Times New Roman" w:hAnsi="Times New Roman" w:cs="Times New Roman"/>
      <w:sz w:val="20"/>
      <w:szCs w:val="20"/>
      <w:lang w:val="tr-TR" w:eastAsia="tr-TR"/>
    </w:rPr>
  </w:style>
  <w:style w:type="character" w:styleId="Hyperlink">
    <w:name w:val="Hyperlink"/>
    <w:basedOn w:val="DefaultParagraphFont"/>
    <w:uiPriority w:val="99"/>
    <w:unhideWhenUsed/>
    <w:rsid w:val="005625FC"/>
    <w:rPr>
      <w:color w:val="0563C1" w:themeColor="hyperlink"/>
      <w:u w:val="single"/>
    </w:rPr>
  </w:style>
  <w:style w:type="paragraph" w:styleId="Footer">
    <w:name w:val="footer"/>
    <w:basedOn w:val="Normal"/>
    <w:link w:val="FooterChar"/>
    <w:uiPriority w:val="99"/>
    <w:unhideWhenUsed/>
    <w:rsid w:val="00B12BB3"/>
    <w:pPr>
      <w:tabs>
        <w:tab w:val="center" w:pos="4419"/>
        <w:tab w:val="right" w:pos="8838"/>
      </w:tabs>
    </w:pPr>
  </w:style>
  <w:style w:type="character" w:customStyle="1" w:styleId="FooterChar">
    <w:name w:val="Footer Char"/>
    <w:basedOn w:val="DefaultParagraphFont"/>
    <w:link w:val="Footer"/>
    <w:uiPriority w:val="99"/>
    <w:rsid w:val="00B12BB3"/>
    <w:rPr>
      <w:rFonts w:ascii="Times New Roman" w:eastAsia="Times New Roman" w:hAnsi="Times New Roman" w:cs="Times New Roman"/>
      <w:sz w:val="24"/>
      <w:szCs w:val="24"/>
      <w:lang w:val="tr-TR" w:eastAsia="tr-TR"/>
    </w:rPr>
  </w:style>
  <w:style w:type="character" w:styleId="UnresolvedMention">
    <w:name w:val="Unresolved Mention"/>
    <w:basedOn w:val="DefaultParagraphFont"/>
    <w:uiPriority w:val="99"/>
    <w:semiHidden/>
    <w:unhideWhenUsed/>
    <w:rsid w:val="00AC5917"/>
    <w:rPr>
      <w:color w:val="605E5C"/>
      <w:shd w:val="clear" w:color="auto" w:fill="E1DFDD"/>
    </w:rPr>
  </w:style>
  <w:style w:type="table" w:customStyle="1" w:styleId="a">
    <w:basedOn w:val="TableNormal1"/>
    <w:tblPr>
      <w:tblStyleRowBandSize w:val="1"/>
      <w:tblStyleColBandSize w:val="1"/>
      <w:tblCellMar>
        <w:top w:w="0" w:type="dxa"/>
        <w:left w:w="115" w:type="dxa"/>
        <w:bottom w:w="0" w:type="dxa"/>
        <w:right w:w="115" w:type="dxa"/>
      </w:tblCellMar>
    </w:tblPr>
  </w:style>
  <w:style w:type="table" w:customStyle="1" w:styleId="a0">
    <w:basedOn w:val="TableNormal1"/>
    <w:tblPr>
      <w:tblStyleRowBandSize w:val="1"/>
      <w:tblStyleColBandSize w:val="1"/>
      <w:tblCellMar>
        <w:top w:w="0" w:type="dxa"/>
        <w:left w:w="115" w:type="dxa"/>
        <w:bottom w:w="0" w:type="dxa"/>
        <w:right w:w="115"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1"/>
    <w:tblPr>
      <w:tblStyleRowBandSize w:val="1"/>
      <w:tblStyleColBandSize w:val="1"/>
      <w:tblCellMar>
        <w:top w:w="0" w:type="dxa"/>
        <w:left w:w="115" w:type="dxa"/>
        <w:bottom w:w="0" w:type="dxa"/>
        <w:right w:w="115" w:type="dxa"/>
      </w:tblCellMar>
    </w:tblPr>
  </w:style>
  <w:style w:type="table" w:customStyle="1" w:styleId="a2">
    <w:basedOn w:val="TableNormal1"/>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2995</TotalTime>
  <Pages>2</Pages>
  <Words>1474</Words>
  <Characters>8407</Characters>
  <Application>Microsoft Office Word</Application>
  <DocSecurity>0</DocSecurity>
  <Lines>70</Lines>
  <Paragraphs>19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RAFAEL CARMONA</cp:lastModifiedBy>
  <cp:revision>16</cp:revision>
  <dcterms:created xsi:type="dcterms:W3CDTF">2025-09-09T17:06:00Z</dcterms:created>
  <dcterms:modified xsi:type="dcterms:W3CDTF">2026-01-21T18:12:00Z</dcterms:modified>
</cp:coreProperties>
</file>