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12D6A" w14:textId="3277B2B2" w:rsidR="008035D7" w:rsidRDefault="0052265C">
      <w:pPr>
        <w:pBdr>
          <w:top w:val="nil"/>
          <w:left w:val="nil"/>
          <w:bottom w:val="nil"/>
          <w:right w:val="nil"/>
          <w:between w:val="nil"/>
        </w:pBdr>
        <w:spacing w:before="120" w:after="120"/>
        <w:jc w:val="center"/>
        <w:rPr>
          <w:rFonts w:ascii="Roboto" w:eastAsia="Roboto" w:hAnsi="Roboto" w:cs="Roboto"/>
          <w:b/>
          <w:color w:val="000000"/>
        </w:rPr>
      </w:pPr>
      <w:r w:rsidRPr="0052265C">
        <w:rPr>
          <w:rFonts w:ascii="Roboto" w:eastAsia="Roboto" w:hAnsi="Roboto" w:cs="Roboto"/>
          <w:b/>
          <w:color w:val="000000"/>
        </w:rPr>
        <w:t xml:space="preserve">Análisis comparativo de la eficiencia de los sistemas de salud en países de la </w:t>
      </w:r>
      <w:r>
        <w:rPr>
          <w:rFonts w:ascii="Roboto" w:eastAsia="Roboto" w:hAnsi="Roboto" w:cs="Roboto"/>
          <w:b/>
          <w:color w:val="000000"/>
        </w:rPr>
        <w:t>OCDE</w:t>
      </w:r>
      <w:r w:rsidRPr="0052265C">
        <w:rPr>
          <w:rFonts w:ascii="Roboto" w:eastAsia="Roboto" w:hAnsi="Roboto" w:cs="Roboto"/>
          <w:b/>
          <w:color w:val="000000"/>
        </w:rPr>
        <w:t>: una perspectiva desde los regímenes de bienestar (2000–2020)</w:t>
      </w:r>
    </w:p>
    <w:p w14:paraId="0938199F" w14:textId="6041FBA0" w:rsidR="008035D7" w:rsidRDefault="0052265C">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Nieto M.R.</w:t>
      </w:r>
      <w:r>
        <w:rPr>
          <w:rFonts w:ascii="Roboto" w:eastAsia="Roboto" w:hAnsi="Roboto" w:cs="Roboto"/>
          <w:b/>
          <w:color w:val="000000"/>
          <w:sz w:val="20"/>
          <w:szCs w:val="20"/>
          <w:vertAlign w:val="superscript"/>
        </w:rPr>
        <w:t>1</w:t>
      </w:r>
      <w:r>
        <w:rPr>
          <w:rFonts w:ascii="Roboto" w:eastAsia="Roboto" w:hAnsi="Roboto" w:cs="Roboto"/>
          <w:b/>
          <w:color w:val="000000"/>
          <w:sz w:val="20"/>
          <w:szCs w:val="20"/>
        </w:rPr>
        <w:t>, y Carmona-Benítez R.B.</w:t>
      </w:r>
      <w:r>
        <w:rPr>
          <w:rFonts w:ascii="Roboto" w:eastAsia="Roboto" w:hAnsi="Roboto" w:cs="Roboto"/>
          <w:b/>
          <w:color w:val="000000"/>
          <w:sz w:val="20"/>
          <w:szCs w:val="20"/>
          <w:vertAlign w:val="superscript"/>
        </w:rPr>
        <w:t>2*</w:t>
      </w:r>
    </w:p>
    <w:p w14:paraId="1B6C1318" w14:textId="55FC9872" w:rsidR="0052265C" w:rsidRDefault="00D63875" w:rsidP="0052265C">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sidR="0052265C" w:rsidRPr="004D4E6C">
        <w:rPr>
          <w:rFonts w:ascii="Roboto" w:eastAsia="Roboto" w:hAnsi="Roboto" w:cs="Roboto"/>
          <w:color w:val="000000"/>
          <w:sz w:val="18"/>
          <w:szCs w:val="18"/>
        </w:rPr>
        <w:t>Facultad de Economía y Negocios, Universidad Anáhuac México</w:t>
      </w:r>
      <w:r w:rsidR="0052265C">
        <w:rPr>
          <w:rFonts w:ascii="Roboto" w:eastAsia="Roboto" w:hAnsi="Roboto" w:cs="Roboto"/>
          <w:color w:val="000000"/>
          <w:sz w:val="18"/>
          <w:szCs w:val="18"/>
        </w:rPr>
        <w:t xml:space="preserve">, ORCID: </w:t>
      </w:r>
      <w:r w:rsidR="0052265C" w:rsidRPr="0052265C">
        <w:rPr>
          <w:rFonts w:ascii="Roboto" w:eastAsia="Roboto" w:hAnsi="Roboto" w:cs="Roboto"/>
          <w:color w:val="000000"/>
          <w:sz w:val="18"/>
          <w:szCs w:val="18"/>
        </w:rPr>
        <w:t>0000-0002-9325-248X</w:t>
      </w:r>
    </w:p>
    <w:p w14:paraId="55D7E62F" w14:textId="4C6D9757" w:rsidR="0052265C" w:rsidRDefault="0052265C" w:rsidP="0052265C">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2</w:t>
      </w:r>
      <w:r w:rsidRPr="004D4E6C">
        <w:rPr>
          <w:rFonts w:ascii="Roboto" w:eastAsia="Roboto" w:hAnsi="Roboto" w:cs="Roboto"/>
          <w:color w:val="000000"/>
          <w:sz w:val="18"/>
          <w:szCs w:val="18"/>
        </w:rPr>
        <w:t>Facultad de Economía y Negocios, Universidad Anáhuac México</w:t>
      </w:r>
      <w:r>
        <w:rPr>
          <w:rFonts w:ascii="Roboto" w:eastAsia="Roboto" w:hAnsi="Roboto" w:cs="Roboto"/>
          <w:color w:val="000000"/>
          <w:sz w:val="18"/>
          <w:szCs w:val="18"/>
        </w:rPr>
        <w:t>, ORCID: 0000-0002-8369-2748</w:t>
      </w:r>
    </w:p>
    <w:p w14:paraId="5C743C74" w14:textId="77777777" w:rsidR="0052265C" w:rsidRDefault="0052265C" w:rsidP="0052265C">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rafael.carmona@anahuac.mx)</w:t>
      </w:r>
    </w:p>
    <w:p w14:paraId="61247F64" w14:textId="77777777" w:rsidR="008035D7" w:rsidRDefault="002E176D">
      <w:pPr>
        <w:spacing w:before="60"/>
        <w:jc w:val="center"/>
        <w:rPr>
          <w:rFonts w:ascii="Roboto" w:eastAsia="Roboto" w:hAnsi="Roboto" w:cs="Roboto"/>
          <w:sz w:val="18"/>
          <w:szCs w:val="18"/>
        </w:rPr>
        <w:sectPr w:rsidR="008035D7">
          <w:headerReference w:type="default" r:id="rId7"/>
          <w:pgSz w:w="11906" w:h="16838"/>
          <w:pgMar w:top="851" w:right="851" w:bottom="828" w:left="851" w:header="357" w:footer="720" w:gutter="0"/>
          <w:pgNumType w:start="1"/>
          <w:cols w:space="720"/>
        </w:sectPr>
      </w:pPr>
      <w:r>
        <w:rPr>
          <w:noProof/>
        </w:rPr>
        <w:pict w14:anchorId="3B2D6501">
          <v:rect id="_x0000_i1025" alt="" style="width:441.9pt;height:.05pt;mso-width-percent:0;mso-height-percent:0;mso-width-percent:0;mso-height-percent:0" o:hralign="center" o:hrstd="t" o:hr="t" fillcolor="#a0a0a0" stroked="f"/>
        </w:pict>
      </w:r>
    </w:p>
    <w:p w14:paraId="588269C2" w14:textId="77777777" w:rsidR="00046D67" w:rsidRPr="00046D67" w:rsidRDefault="00046D67" w:rsidP="00046D67">
      <w:pPr>
        <w:keepNext/>
        <w:jc w:val="both"/>
        <w:rPr>
          <w:rFonts w:ascii="Roboto" w:eastAsia="Roboto" w:hAnsi="Roboto" w:cs="Roboto"/>
          <w:b/>
          <w:sz w:val="20"/>
          <w:szCs w:val="20"/>
        </w:rPr>
      </w:pPr>
      <w:r w:rsidRPr="00046D67">
        <w:rPr>
          <w:rFonts w:ascii="Roboto" w:eastAsia="Roboto" w:hAnsi="Roboto" w:cs="Roboto"/>
          <w:b/>
          <w:sz w:val="20"/>
          <w:szCs w:val="20"/>
        </w:rPr>
        <w:t>INTRODUCCIÓN</w:t>
      </w:r>
    </w:p>
    <w:p w14:paraId="424BE04B" w14:textId="525D7834" w:rsidR="00896401" w:rsidRPr="00896401" w:rsidRDefault="00896401" w:rsidP="00896401">
      <w:pPr>
        <w:keepNext/>
        <w:jc w:val="both"/>
        <w:rPr>
          <w:rFonts w:ascii="Roboto" w:eastAsia="Roboto" w:hAnsi="Roboto" w:cs="Roboto"/>
          <w:bCs/>
          <w:sz w:val="20"/>
          <w:szCs w:val="20"/>
        </w:rPr>
      </w:pPr>
      <w:r w:rsidRPr="00896401">
        <w:rPr>
          <w:rFonts w:ascii="Roboto" w:eastAsia="Roboto" w:hAnsi="Roboto" w:cs="Roboto"/>
          <w:bCs/>
          <w:sz w:val="20"/>
          <w:szCs w:val="20"/>
        </w:rPr>
        <w:t xml:space="preserve">La eficiencia de los sistemas de salud </w:t>
      </w:r>
      <w:r w:rsidR="000F2D3C">
        <w:rPr>
          <w:rFonts w:ascii="Roboto" w:eastAsia="Roboto" w:hAnsi="Roboto" w:cs="Roboto"/>
          <w:bCs/>
          <w:sz w:val="20"/>
          <w:szCs w:val="20"/>
        </w:rPr>
        <w:t>es</w:t>
      </w:r>
      <w:r w:rsidRPr="00896401">
        <w:rPr>
          <w:rFonts w:ascii="Roboto" w:eastAsia="Roboto" w:hAnsi="Roboto" w:cs="Roboto"/>
          <w:bCs/>
          <w:sz w:val="20"/>
          <w:szCs w:val="20"/>
        </w:rPr>
        <w:t xml:space="preserve"> un tema central de estudio académic</w:t>
      </w:r>
      <w:r w:rsidR="000F2D3C">
        <w:rPr>
          <w:rFonts w:ascii="Roboto" w:eastAsia="Roboto" w:hAnsi="Roboto" w:cs="Roboto"/>
          <w:bCs/>
          <w:sz w:val="20"/>
          <w:szCs w:val="20"/>
        </w:rPr>
        <w:t xml:space="preserve">o, </w:t>
      </w:r>
      <w:r w:rsidRPr="00896401">
        <w:rPr>
          <w:rFonts w:ascii="Roboto" w:eastAsia="Roboto" w:hAnsi="Roboto" w:cs="Roboto"/>
          <w:bCs/>
          <w:sz w:val="20"/>
          <w:szCs w:val="20"/>
        </w:rPr>
        <w:t>de política pública</w:t>
      </w:r>
      <w:r w:rsidR="000F2D3C">
        <w:rPr>
          <w:rFonts w:ascii="Roboto" w:eastAsia="Roboto" w:hAnsi="Roboto" w:cs="Roboto"/>
          <w:bCs/>
          <w:sz w:val="20"/>
          <w:szCs w:val="20"/>
        </w:rPr>
        <w:t xml:space="preserve"> y de análisis socioeconómico,</w:t>
      </w:r>
      <w:r w:rsidRPr="00896401">
        <w:rPr>
          <w:rFonts w:ascii="Roboto" w:eastAsia="Roboto" w:hAnsi="Roboto" w:cs="Roboto"/>
          <w:bCs/>
          <w:sz w:val="20"/>
          <w:szCs w:val="20"/>
        </w:rPr>
        <w:t xml:space="preserve"> particularmente en contextos caracterizados por restricciones fiscales, </w:t>
      </w:r>
      <w:r w:rsidR="00042069">
        <w:rPr>
          <w:rFonts w:ascii="Roboto" w:eastAsia="Roboto" w:hAnsi="Roboto" w:cs="Roboto"/>
          <w:bCs/>
          <w:sz w:val="20"/>
          <w:szCs w:val="20"/>
        </w:rPr>
        <w:t xml:space="preserve">el </w:t>
      </w:r>
      <w:r w:rsidRPr="00896401">
        <w:rPr>
          <w:rFonts w:ascii="Roboto" w:eastAsia="Roboto" w:hAnsi="Roboto" w:cs="Roboto"/>
          <w:bCs/>
          <w:sz w:val="20"/>
          <w:szCs w:val="20"/>
        </w:rPr>
        <w:t xml:space="preserve">envejecimiento poblacional y </w:t>
      </w:r>
      <w:r w:rsidR="000F2D3C">
        <w:rPr>
          <w:rFonts w:ascii="Roboto" w:eastAsia="Roboto" w:hAnsi="Roboto" w:cs="Roboto"/>
          <w:bCs/>
          <w:sz w:val="20"/>
          <w:szCs w:val="20"/>
        </w:rPr>
        <w:t xml:space="preserve">las </w:t>
      </w:r>
      <w:r w:rsidRPr="00896401">
        <w:rPr>
          <w:rFonts w:ascii="Roboto" w:eastAsia="Roboto" w:hAnsi="Roboto" w:cs="Roboto"/>
          <w:bCs/>
          <w:sz w:val="20"/>
          <w:szCs w:val="20"/>
        </w:rPr>
        <w:t>desigualdades</w:t>
      </w:r>
      <w:r w:rsidR="00042069">
        <w:rPr>
          <w:rFonts w:ascii="Roboto" w:eastAsia="Roboto" w:hAnsi="Roboto" w:cs="Roboto"/>
          <w:bCs/>
          <w:sz w:val="20"/>
          <w:szCs w:val="20"/>
        </w:rPr>
        <w:t xml:space="preserve"> existentes</w:t>
      </w:r>
      <w:r w:rsidRPr="00896401">
        <w:rPr>
          <w:rFonts w:ascii="Roboto" w:eastAsia="Roboto" w:hAnsi="Roboto" w:cs="Roboto"/>
          <w:bCs/>
          <w:sz w:val="20"/>
          <w:szCs w:val="20"/>
        </w:rPr>
        <w:t xml:space="preserve"> en </w:t>
      </w:r>
      <w:r w:rsidR="000F2D3C">
        <w:rPr>
          <w:rFonts w:ascii="Roboto" w:eastAsia="Roboto" w:hAnsi="Roboto" w:cs="Roboto"/>
          <w:bCs/>
          <w:sz w:val="20"/>
          <w:szCs w:val="20"/>
        </w:rPr>
        <w:t>el</w:t>
      </w:r>
      <w:r w:rsidRPr="00896401">
        <w:rPr>
          <w:rFonts w:ascii="Roboto" w:eastAsia="Roboto" w:hAnsi="Roboto" w:cs="Roboto"/>
          <w:bCs/>
          <w:sz w:val="20"/>
          <w:szCs w:val="20"/>
        </w:rPr>
        <w:t xml:space="preserve"> acceso a los servicios</w:t>
      </w:r>
      <w:r w:rsidR="000F2D3C">
        <w:rPr>
          <w:rFonts w:ascii="Roboto" w:eastAsia="Roboto" w:hAnsi="Roboto" w:cs="Roboto"/>
          <w:bCs/>
          <w:sz w:val="20"/>
          <w:szCs w:val="20"/>
        </w:rPr>
        <w:t xml:space="preserve"> de salud</w:t>
      </w:r>
      <w:r w:rsidRPr="00896401">
        <w:rPr>
          <w:rFonts w:ascii="Roboto" w:eastAsia="Roboto" w:hAnsi="Roboto" w:cs="Roboto"/>
          <w:bCs/>
          <w:sz w:val="20"/>
          <w:szCs w:val="20"/>
        </w:rPr>
        <w:t xml:space="preserve">. En los países miembros de la Organización para la Cooperación y el Desarrollo Económicos (OCDE), los sistemas de salud presentan diferencias institucionales relevantes que influyen tanto en la asignación de recursos como en los resultados alcanzados en </w:t>
      </w:r>
      <w:r w:rsidR="00042069">
        <w:rPr>
          <w:rFonts w:ascii="Roboto" w:eastAsia="Roboto" w:hAnsi="Roboto" w:cs="Roboto"/>
          <w:bCs/>
          <w:sz w:val="20"/>
          <w:szCs w:val="20"/>
        </w:rPr>
        <w:t>materia</w:t>
      </w:r>
      <w:r w:rsidRPr="00896401">
        <w:rPr>
          <w:rFonts w:ascii="Roboto" w:eastAsia="Roboto" w:hAnsi="Roboto" w:cs="Roboto"/>
          <w:bCs/>
          <w:sz w:val="20"/>
          <w:szCs w:val="20"/>
        </w:rPr>
        <w:t xml:space="preserve"> de bienestar social. En este contexto, el análisis comparativo de la eficiencia técnica permite identificar patrones de desempeño y orientar el diseño de políticas públicas.</w:t>
      </w:r>
    </w:p>
    <w:p w14:paraId="73E87A14" w14:textId="77777777" w:rsidR="00896401" w:rsidRPr="00896401" w:rsidRDefault="00896401" w:rsidP="00896401">
      <w:pPr>
        <w:keepNext/>
        <w:jc w:val="both"/>
        <w:rPr>
          <w:rFonts w:ascii="Roboto" w:eastAsia="Roboto" w:hAnsi="Roboto" w:cs="Roboto"/>
          <w:bCs/>
          <w:sz w:val="20"/>
          <w:szCs w:val="20"/>
        </w:rPr>
      </w:pPr>
    </w:p>
    <w:p w14:paraId="1416D30C" w14:textId="24DECBE7" w:rsidR="00046D67" w:rsidRDefault="00896401" w:rsidP="00896401">
      <w:pPr>
        <w:keepNext/>
        <w:jc w:val="both"/>
        <w:rPr>
          <w:rFonts w:ascii="Roboto" w:eastAsia="Roboto" w:hAnsi="Roboto" w:cs="Roboto"/>
          <w:bCs/>
          <w:sz w:val="20"/>
          <w:szCs w:val="20"/>
        </w:rPr>
      </w:pPr>
      <w:r w:rsidRPr="00896401">
        <w:rPr>
          <w:rFonts w:ascii="Roboto" w:eastAsia="Roboto" w:hAnsi="Roboto" w:cs="Roboto"/>
          <w:bCs/>
          <w:sz w:val="20"/>
          <w:szCs w:val="20"/>
        </w:rPr>
        <w:t xml:space="preserve">Esta investigación </w:t>
      </w:r>
      <w:r w:rsidR="002E2377">
        <w:rPr>
          <w:rFonts w:ascii="Roboto" w:eastAsia="Roboto" w:hAnsi="Roboto" w:cs="Roboto"/>
          <w:bCs/>
          <w:sz w:val="20"/>
          <w:szCs w:val="20"/>
        </w:rPr>
        <w:t xml:space="preserve">calcula y </w:t>
      </w:r>
      <w:r w:rsidRPr="00896401">
        <w:rPr>
          <w:rFonts w:ascii="Roboto" w:eastAsia="Roboto" w:hAnsi="Roboto" w:cs="Roboto"/>
          <w:bCs/>
          <w:sz w:val="20"/>
          <w:szCs w:val="20"/>
        </w:rPr>
        <w:t xml:space="preserve">compara la eficiencia técnica de los sistemas de salud de los países de la OCDE según el tipo de régimen de bienestar al que pertenecen —universal, mixto o residual—, con el </w:t>
      </w:r>
      <w:r w:rsidR="00CC7B1F">
        <w:rPr>
          <w:rFonts w:ascii="Roboto" w:eastAsia="Roboto" w:hAnsi="Roboto" w:cs="Roboto"/>
          <w:bCs/>
          <w:sz w:val="20"/>
          <w:szCs w:val="20"/>
        </w:rPr>
        <w:t>objetivo</w:t>
      </w:r>
      <w:r w:rsidRPr="00896401">
        <w:rPr>
          <w:rFonts w:ascii="Roboto" w:eastAsia="Roboto" w:hAnsi="Roboto" w:cs="Roboto"/>
          <w:bCs/>
          <w:sz w:val="20"/>
          <w:szCs w:val="20"/>
        </w:rPr>
        <w:t xml:space="preserve"> de identificar si existen diferencias sistemáticas entre estos grupos y extraer implicaciones para el diseño de políticas públicas en salud</w:t>
      </w:r>
      <w:r w:rsidR="00341668" w:rsidRPr="00341668">
        <w:rPr>
          <w:rFonts w:ascii="Roboto" w:eastAsia="Roboto" w:hAnsi="Roboto" w:cs="Roboto"/>
          <w:bCs/>
          <w:sz w:val="20"/>
          <w:szCs w:val="20"/>
        </w:rPr>
        <w:t>.</w:t>
      </w:r>
    </w:p>
    <w:p w14:paraId="3CC836E2" w14:textId="77777777" w:rsidR="001D3AB5" w:rsidRDefault="001D3AB5" w:rsidP="00046D67">
      <w:pPr>
        <w:keepNext/>
        <w:jc w:val="both"/>
        <w:rPr>
          <w:rFonts w:ascii="Roboto" w:eastAsia="Roboto" w:hAnsi="Roboto" w:cs="Roboto"/>
          <w:bCs/>
          <w:sz w:val="20"/>
          <w:szCs w:val="20"/>
        </w:rPr>
      </w:pPr>
    </w:p>
    <w:p w14:paraId="0F1F0F7B" w14:textId="77777777" w:rsidR="00F10DA5" w:rsidRDefault="00F10DA5" w:rsidP="00F10DA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DESCRIPCIÓN DEL PROBLEMA Y DEL MODELO</w:t>
      </w:r>
    </w:p>
    <w:p w14:paraId="72991059" w14:textId="297828EF" w:rsidR="00341668" w:rsidRDefault="005010EA" w:rsidP="00341668">
      <w:pPr>
        <w:keepNext/>
        <w:jc w:val="both"/>
        <w:rPr>
          <w:rFonts w:ascii="Roboto" w:eastAsia="Roboto" w:hAnsi="Roboto" w:cs="Roboto"/>
          <w:bCs/>
          <w:sz w:val="20"/>
          <w:szCs w:val="20"/>
        </w:rPr>
      </w:pPr>
      <w:r w:rsidRPr="005010EA">
        <w:rPr>
          <w:rFonts w:ascii="Roboto" w:eastAsia="Roboto" w:hAnsi="Roboto" w:cs="Roboto"/>
          <w:bCs/>
          <w:sz w:val="20"/>
          <w:szCs w:val="20"/>
        </w:rPr>
        <w:t xml:space="preserve">El estudio estima la eficiencia técnica de los sistemas de salud de los países de la OCDE durante el periodo 2000–2020 mediante un modelo de Data Envelopment Analysis (DEA). Las unidades de análisis (DMU) corresponden a los países miembros de la OCDE, clasificados según su régimen de bienestar. La base de datos contiene indicadores demográficos, de infraestructura sanitaria, de recursos humanos en salud, de cobertura de aseguramiento y de gasto en salud como porcentaje del producto interno bruto (PIB). </w:t>
      </w:r>
      <w:r w:rsidR="00016291" w:rsidRPr="00016291">
        <w:rPr>
          <w:rFonts w:ascii="Roboto" w:eastAsia="Roboto" w:hAnsi="Roboto" w:cs="Roboto"/>
          <w:bCs/>
          <w:sz w:val="20"/>
          <w:szCs w:val="20"/>
        </w:rPr>
        <w:t>El modelo DEA calcula el desempeño relativo de los sistemas de salud considerando indicadores demográficos, de infraestructura sanitaria, de recursos humanos en salud y de gasto en salud como variables de entrada (inputs), y la cobertura de aseguramiento como variable de salida (output), sin imponer relaciones matemáticas predeterminadas entre ellas, a diferencia de los modelos paramétricos.</w:t>
      </w:r>
    </w:p>
    <w:p w14:paraId="47CA7F97" w14:textId="77777777" w:rsidR="008035D7" w:rsidRPr="00532397" w:rsidRDefault="008035D7" w:rsidP="00532397">
      <w:pPr>
        <w:keepNext/>
        <w:jc w:val="both"/>
        <w:rPr>
          <w:rFonts w:ascii="Roboto" w:eastAsia="Roboto" w:hAnsi="Roboto" w:cs="Roboto"/>
          <w:b/>
          <w:bCs/>
          <w:color w:val="000000"/>
          <w:sz w:val="20"/>
          <w:szCs w:val="20"/>
        </w:rPr>
      </w:pPr>
    </w:p>
    <w:p w14:paraId="079C69C2" w14:textId="448A62C5" w:rsidR="00532397" w:rsidRPr="00532397" w:rsidRDefault="00532397" w:rsidP="00532397">
      <w:pPr>
        <w:keepNext/>
        <w:jc w:val="both"/>
        <w:rPr>
          <w:rFonts w:ascii="Roboto" w:eastAsia="Roboto" w:hAnsi="Roboto" w:cs="Roboto"/>
          <w:b/>
          <w:bCs/>
          <w:color w:val="000000"/>
          <w:sz w:val="20"/>
          <w:szCs w:val="20"/>
        </w:rPr>
      </w:pPr>
      <w:r w:rsidRPr="00532397">
        <w:rPr>
          <w:rFonts w:ascii="Roboto" w:eastAsia="Roboto" w:hAnsi="Roboto" w:cs="Roboto"/>
          <w:b/>
          <w:bCs/>
          <w:color w:val="000000"/>
          <w:sz w:val="20"/>
          <w:szCs w:val="20"/>
        </w:rPr>
        <w:t>RESULTADOS</w:t>
      </w:r>
    </w:p>
    <w:p w14:paraId="57BCA067" w14:textId="7D7990A2" w:rsidR="00532397" w:rsidRDefault="00532397">
      <w:pPr>
        <w:pBdr>
          <w:top w:val="nil"/>
          <w:left w:val="nil"/>
          <w:bottom w:val="nil"/>
          <w:right w:val="nil"/>
          <w:between w:val="nil"/>
        </w:pBdr>
        <w:jc w:val="both"/>
        <w:rPr>
          <w:rFonts w:ascii="Roboto" w:eastAsia="Roboto" w:hAnsi="Roboto" w:cs="Roboto"/>
          <w:color w:val="000000"/>
          <w:sz w:val="20"/>
          <w:szCs w:val="20"/>
        </w:rPr>
      </w:pPr>
      <w:r w:rsidRPr="00532397">
        <w:rPr>
          <w:rFonts w:ascii="Roboto" w:eastAsia="Roboto" w:hAnsi="Roboto" w:cs="Roboto"/>
          <w:color w:val="000000"/>
          <w:sz w:val="20"/>
          <w:szCs w:val="20"/>
        </w:rPr>
        <w:t xml:space="preserve">Los resultados obtenidos muestran que, en promedio, los países con regímenes de bienestar mixtos presentan mayores niveles de eficiencia técnica en comparación con aquellos con regímenes universales y residuales. Sin embargo, el análisis también evidencia que niveles elevados de eficiencia técnica no se traducen necesariamente en mejores resultados en términos de </w:t>
      </w:r>
      <w:r w:rsidRPr="00532397">
        <w:rPr>
          <w:rFonts w:ascii="Roboto" w:eastAsia="Roboto" w:hAnsi="Roboto" w:cs="Roboto"/>
          <w:color w:val="000000"/>
          <w:sz w:val="20"/>
          <w:szCs w:val="20"/>
        </w:rPr>
        <w:t xml:space="preserve">equidad, calidad de la atención o acceso efectivo a los servicios de salud, lo que sugiere la existencia de </w:t>
      </w:r>
      <w:r w:rsidR="00F7705A">
        <w:rPr>
          <w:rFonts w:ascii="Roboto" w:eastAsia="Roboto" w:hAnsi="Roboto" w:cs="Roboto"/>
          <w:color w:val="000000"/>
          <w:sz w:val="20"/>
          <w:szCs w:val="20"/>
        </w:rPr>
        <w:t>“</w:t>
      </w:r>
      <w:r w:rsidRPr="00532397">
        <w:rPr>
          <w:rFonts w:ascii="Roboto" w:eastAsia="Roboto" w:hAnsi="Roboto" w:cs="Roboto"/>
          <w:color w:val="000000"/>
          <w:sz w:val="20"/>
          <w:szCs w:val="20"/>
        </w:rPr>
        <w:t>trade-offs</w:t>
      </w:r>
      <w:r w:rsidR="00F7705A">
        <w:rPr>
          <w:rFonts w:ascii="Roboto" w:eastAsia="Roboto" w:hAnsi="Roboto" w:cs="Roboto"/>
          <w:color w:val="000000"/>
          <w:sz w:val="20"/>
          <w:szCs w:val="20"/>
        </w:rPr>
        <w:t>”</w:t>
      </w:r>
      <w:r w:rsidRPr="00532397">
        <w:rPr>
          <w:rFonts w:ascii="Roboto" w:eastAsia="Roboto" w:hAnsi="Roboto" w:cs="Roboto"/>
          <w:color w:val="000000"/>
          <w:sz w:val="20"/>
          <w:szCs w:val="20"/>
        </w:rPr>
        <w:t xml:space="preserve"> relevantes entre eficiencia y objetivos sociales más amplios.</w:t>
      </w:r>
    </w:p>
    <w:p w14:paraId="48EB9737" w14:textId="77777777" w:rsidR="00F10DA5" w:rsidRDefault="00F10DA5">
      <w:pPr>
        <w:pBdr>
          <w:top w:val="nil"/>
          <w:left w:val="nil"/>
          <w:bottom w:val="nil"/>
          <w:right w:val="nil"/>
          <w:between w:val="nil"/>
        </w:pBdr>
        <w:jc w:val="both"/>
        <w:rPr>
          <w:rFonts w:ascii="Roboto" w:eastAsia="Roboto" w:hAnsi="Roboto" w:cs="Roboto"/>
          <w:color w:val="000000"/>
          <w:sz w:val="20"/>
          <w:szCs w:val="20"/>
        </w:rPr>
      </w:pPr>
    </w:p>
    <w:p w14:paraId="145129E9" w14:textId="77777777" w:rsidR="00F10DA5" w:rsidRDefault="00F10DA5" w:rsidP="00F10DA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CONCLUSIONES Y TRABAJO FUTURO</w:t>
      </w:r>
    </w:p>
    <w:p w14:paraId="397F6D3C" w14:textId="417D8F0C" w:rsidR="002D05F8" w:rsidRDefault="002404ED" w:rsidP="002404ED">
      <w:pPr>
        <w:keepNext/>
        <w:jc w:val="both"/>
        <w:rPr>
          <w:rFonts w:ascii="Roboto" w:eastAsia="Roboto" w:hAnsi="Roboto" w:cs="Roboto"/>
          <w:bCs/>
          <w:sz w:val="20"/>
          <w:szCs w:val="20"/>
        </w:rPr>
      </w:pPr>
      <w:r>
        <w:rPr>
          <w:rFonts w:ascii="Roboto" w:eastAsia="Roboto" w:hAnsi="Roboto" w:cs="Roboto"/>
          <w:bCs/>
          <w:sz w:val="20"/>
          <w:szCs w:val="20"/>
        </w:rPr>
        <w:t>La</w:t>
      </w:r>
      <w:r w:rsidRPr="002404ED">
        <w:rPr>
          <w:rFonts w:ascii="Roboto" w:eastAsia="Roboto" w:hAnsi="Roboto" w:cs="Roboto"/>
          <w:bCs/>
          <w:sz w:val="20"/>
          <w:szCs w:val="20"/>
        </w:rPr>
        <w:t xml:space="preserve"> eficiencia técnica de los sistemas de salud en los países de la OCDE presenta diferencias sistemáticas asociadas al tipo de régimen de bienestar, lo que evidencia la influencia de los arreglos institucionales en la asignación y utilización de los recursos sanitarios, destacando el mejor desempeño promedio de los regímenes mixtos. </w:t>
      </w:r>
      <w:r>
        <w:rPr>
          <w:rFonts w:ascii="Roboto" w:eastAsia="Roboto" w:hAnsi="Roboto" w:cs="Roboto"/>
          <w:bCs/>
          <w:sz w:val="20"/>
          <w:szCs w:val="20"/>
        </w:rPr>
        <w:t>Los</w:t>
      </w:r>
      <w:r w:rsidRPr="002404ED">
        <w:rPr>
          <w:rFonts w:ascii="Roboto" w:eastAsia="Roboto" w:hAnsi="Roboto" w:cs="Roboto"/>
          <w:bCs/>
          <w:sz w:val="20"/>
          <w:szCs w:val="20"/>
        </w:rPr>
        <w:t xml:space="preserve"> resultados también muestran que una mayor eficiencia técnica no garantiza necesariamente </w:t>
      </w:r>
      <w:r>
        <w:rPr>
          <w:rFonts w:ascii="Roboto" w:eastAsia="Roboto" w:hAnsi="Roboto" w:cs="Roboto"/>
          <w:bCs/>
          <w:sz w:val="20"/>
          <w:szCs w:val="20"/>
        </w:rPr>
        <w:t>mayor</w:t>
      </w:r>
      <w:r w:rsidRPr="002404ED">
        <w:rPr>
          <w:rFonts w:ascii="Roboto" w:eastAsia="Roboto" w:hAnsi="Roboto" w:cs="Roboto"/>
          <w:bCs/>
          <w:sz w:val="20"/>
          <w:szCs w:val="20"/>
        </w:rPr>
        <w:t xml:space="preserve"> equidad, calidad o acceso efectivo a los servicios de salud, lo que </w:t>
      </w:r>
      <w:r>
        <w:rPr>
          <w:rFonts w:ascii="Roboto" w:eastAsia="Roboto" w:hAnsi="Roboto" w:cs="Roboto"/>
          <w:bCs/>
          <w:sz w:val="20"/>
          <w:szCs w:val="20"/>
        </w:rPr>
        <w:t>demuestra</w:t>
      </w:r>
      <w:r w:rsidRPr="002404ED">
        <w:rPr>
          <w:rFonts w:ascii="Roboto" w:eastAsia="Roboto" w:hAnsi="Roboto" w:cs="Roboto"/>
          <w:bCs/>
          <w:sz w:val="20"/>
          <w:szCs w:val="20"/>
        </w:rPr>
        <w:t xml:space="preserve"> la existencia de </w:t>
      </w:r>
      <w:r>
        <w:rPr>
          <w:rFonts w:ascii="Roboto" w:eastAsia="Roboto" w:hAnsi="Roboto" w:cs="Roboto"/>
          <w:bCs/>
          <w:sz w:val="20"/>
          <w:szCs w:val="20"/>
        </w:rPr>
        <w:t>intercambios (</w:t>
      </w:r>
      <w:r w:rsidRPr="002404ED">
        <w:rPr>
          <w:rFonts w:ascii="Roboto" w:eastAsia="Roboto" w:hAnsi="Roboto" w:cs="Roboto"/>
          <w:bCs/>
          <w:sz w:val="20"/>
          <w:szCs w:val="20"/>
        </w:rPr>
        <w:t>trade-offs</w:t>
      </w:r>
      <w:r>
        <w:rPr>
          <w:rFonts w:ascii="Roboto" w:eastAsia="Roboto" w:hAnsi="Roboto" w:cs="Roboto"/>
          <w:bCs/>
          <w:sz w:val="20"/>
          <w:szCs w:val="20"/>
        </w:rPr>
        <w:t>)</w:t>
      </w:r>
      <w:r w:rsidRPr="002404ED">
        <w:rPr>
          <w:rFonts w:ascii="Roboto" w:eastAsia="Roboto" w:hAnsi="Roboto" w:cs="Roboto"/>
          <w:bCs/>
          <w:sz w:val="20"/>
          <w:szCs w:val="20"/>
        </w:rPr>
        <w:t xml:space="preserve"> </w:t>
      </w:r>
      <w:r w:rsidR="00A80B67">
        <w:rPr>
          <w:rFonts w:ascii="Roboto" w:eastAsia="Roboto" w:hAnsi="Roboto" w:cs="Roboto"/>
          <w:bCs/>
          <w:sz w:val="20"/>
          <w:szCs w:val="20"/>
        </w:rPr>
        <w:t>importantes</w:t>
      </w:r>
      <w:r w:rsidRPr="002404ED">
        <w:rPr>
          <w:rFonts w:ascii="Roboto" w:eastAsia="Roboto" w:hAnsi="Roboto" w:cs="Roboto"/>
          <w:bCs/>
          <w:sz w:val="20"/>
          <w:szCs w:val="20"/>
        </w:rPr>
        <w:t xml:space="preserve"> entre eficiencia y objetivos sociales. Desde una perspectiva de planeación socioeconómica, </w:t>
      </w:r>
      <w:r>
        <w:rPr>
          <w:rFonts w:ascii="Roboto" w:eastAsia="Roboto" w:hAnsi="Roboto" w:cs="Roboto"/>
          <w:bCs/>
          <w:sz w:val="20"/>
          <w:szCs w:val="20"/>
        </w:rPr>
        <w:t>los resultados muestran</w:t>
      </w:r>
      <w:r w:rsidRPr="002404ED">
        <w:rPr>
          <w:rFonts w:ascii="Roboto" w:eastAsia="Roboto" w:hAnsi="Roboto" w:cs="Roboto"/>
          <w:bCs/>
          <w:sz w:val="20"/>
          <w:szCs w:val="20"/>
        </w:rPr>
        <w:t xml:space="preserve"> la necesidad de complementar los análisis de eficiencia con indicadores de calidad y justicia distributiva, así como la utilidad del enfoque de regímenes de bienestar para orientar reformas institucionales, particularmente en contextos como el de México.</w:t>
      </w:r>
    </w:p>
    <w:p w14:paraId="63C45F50" w14:textId="77777777" w:rsidR="002404ED" w:rsidRPr="002404ED" w:rsidRDefault="002404ED" w:rsidP="002404ED">
      <w:pPr>
        <w:keepNext/>
        <w:jc w:val="both"/>
        <w:rPr>
          <w:rFonts w:ascii="Roboto" w:eastAsia="Roboto" w:hAnsi="Roboto" w:cs="Roboto"/>
          <w:bCs/>
          <w:sz w:val="20"/>
          <w:szCs w:val="20"/>
        </w:rPr>
      </w:pPr>
    </w:p>
    <w:p w14:paraId="26C8E225" w14:textId="76ABD7B7" w:rsidR="008035D7" w:rsidRDefault="00D63875">
      <w:pPr>
        <w:jc w:val="both"/>
        <w:rPr>
          <w:rFonts w:ascii="Roboto" w:eastAsia="Roboto" w:hAnsi="Roboto" w:cs="Roboto"/>
          <w:b/>
          <w:sz w:val="20"/>
          <w:szCs w:val="20"/>
        </w:rPr>
      </w:pPr>
      <w:r>
        <w:rPr>
          <w:rFonts w:ascii="Roboto" w:eastAsia="Roboto" w:hAnsi="Roboto" w:cs="Roboto"/>
          <w:b/>
          <w:sz w:val="20"/>
          <w:szCs w:val="20"/>
        </w:rPr>
        <w:t>REFERENCIAS</w:t>
      </w:r>
    </w:p>
    <w:p w14:paraId="4AE30A5F" w14:textId="049B2755" w:rsidR="002D05F8" w:rsidRPr="002D05F8" w:rsidRDefault="002D05F8" w:rsidP="002D05F8">
      <w:pPr>
        <w:jc w:val="both"/>
        <w:rPr>
          <w:rFonts w:ascii="Roboto" w:eastAsia="Roboto" w:hAnsi="Roboto" w:cs="Roboto"/>
          <w:sz w:val="20"/>
          <w:szCs w:val="20"/>
        </w:rPr>
      </w:pPr>
      <w:r w:rsidRPr="002D05F8">
        <w:rPr>
          <w:rFonts w:ascii="Roboto" w:eastAsia="Roboto" w:hAnsi="Roboto" w:cs="Roboto"/>
          <w:sz w:val="20"/>
          <w:szCs w:val="20"/>
          <w:lang w:val="en-US"/>
        </w:rPr>
        <w:t xml:space="preserve">Ahmed, S., Hasan, M. Z., MacLennan, M., Dorin, F., Ahmed, M. W., Hasan, M. M., Hasan, S. M., Islam, M. T., &amp; Khan, J. A. M. (2019). Measuring the efficiency of health systems in Asia: A data envelopment analysis. </w:t>
      </w:r>
      <w:r w:rsidRPr="002D05F8">
        <w:rPr>
          <w:rFonts w:ascii="Roboto" w:eastAsia="Roboto" w:hAnsi="Roboto" w:cs="Roboto"/>
          <w:sz w:val="20"/>
          <w:szCs w:val="20"/>
        </w:rPr>
        <w:t>BMJ Open, 9(3), e022155</w:t>
      </w:r>
    </w:p>
    <w:p w14:paraId="595E9A50" w14:textId="65545B51" w:rsidR="002D05F8" w:rsidRPr="002D05F8" w:rsidRDefault="002D05F8" w:rsidP="002D05F8">
      <w:pPr>
        <w:jc w:val="both"/>
        <w:rPr>
          <w:rFonts w:ascii="Roboto" w:eastAsia="Roboto" w:hAnsi="Roboto" w:cs="Roboto"/>
          <w:sz w:val="20"/>
          <w:szCs w:val="20"/>
        </w:rPr>
      </w:pPr>
      <w:r w:rsidRPr="002D05F8">
        <w:rPr>
          <w:rFonts w:ascii="Roboto" w:eastAsia="Roboto" w:hAnsi="Roboto" w:cs="Roboto"/>
          <w:sz w:val="20"/>
          <w:szCs w:val="20"/>
        </w:rPr>
        <w:t xml:space="preserve">Blomqvist, P., &amp; Palme, J. (2020). </w:t>
      </w:r>
      <w:r w:rsidRPr="002D05F8">
        <w:rPr>
          <w:rFonts w:ascii="Roboto" w:eastAsia="Roboto" w:hAnsi="Roboto" w:cs="Roboto"/>
          <w:sz w:val="20"/>
          <w:szCs w:val="20"/>
          <w:lang w:val="en-US"/>
        </w:rPr>
        <w:t xml:space="preserve">Universalism in welfare policy: The Swedish case beyond 1990. </w:t>
      </w:r>
      <w:r w:rsidRPr="002D05F8">
        <w:rPr>
          <w:rFonts w:ascii="Roboto" w:eastAsia="Roboto" w:hAnsi="Roboto" w:cs="Roboto"/>
          <w:sz w:val="20"/>
          <w:szCs w:val="20"/>
        </w:rPr>
        <w:t>Social Inclusion, 8(1), 114–123.</w:t>
      </w:r>
    </w:p>
    <w:p w14:paraId="0EB82EA7" w14:textId="70402F2E" w:rsidR="002D05F8" w:rsidRPr="002D05F8" w:rsidRDefault="002D05F8" w:rsidP="002D05F8">
      <w:pPr>
        <w:jc w:val="both"/>
        <w:rPr>
          <w:rFonts w:ascii="Roboto" w:eastAsia="Roboto" w:hAnsi="Roboto" w:cs="Roboto"/>
          <w:sz w:val="20"/>
          <w:szCs w:val="20"/>
          <w:lang w:val="en-US"/>
        </w:rPr>
      </w:pPr>
      <w:r w:rsidRPr="002D05F8">
        <w:rPr>
          <w:rFonts w:ascii="Roboto" w:eastAsia="Roboto" w:hAnsi="Roboto" w:cs="Roboto"/>
          <w:sz w:val="20"/>
          <w:szCs w:val="20"/>
        </w:rPr>
        <w:t xml:space="preserve">Gani, S., &amp; De Clercq, B. (2023). </w:t>
      </w:r>
      <w:r w:rsidRPr="002D05F8">
        <w:rPr>
          <w:rFonts w:ascii="Roboto" w:eastAsia="Roboto" w:hAnsi="Roboto" w:cs="Roboto"/>
          <w:sz w:val="20"/>
          <w:szCs w:val="20"/>
          <w:lang w:val="en-US"/>
        </w:rPr>
        <w:t>Conceptual framework depicting the interrelationship between a country’s welfare regime and its health system. Global Journal of Economics and Business, 13(1), 71–83.</w:t>
      </w:r>
    </w:p>
    <w:p w14:paraId="6D36FEA0" w14:textId="5DF8976A" w:rsidR="002D05F8" w:rsidRPr="002D05F8" w:rsidRDefault="002D05F8" w:rsidP="002D05F8">
      <w:pPr>
        <w:jc w:val="both"/>
        <w:rPr>
          <w:rFonts w:ascii="Roboto" w:eastAsia="Roboto" w:hAnsi="Roboto" w:cs="Roboto"/>
          <w:sz w:val="20"/>
          <w:szCs w:val="20"/>
          <w:lang w:val="en-US"/>
        </w:rPr>
      </w:pPr>
      <w:r w:rsidRPr="002D05F8">
        <w:rPr>
          <w:rFonts w:ascii="Roboto" w:eastAsia="Roboto" w:hAnsi="Roboto" w:cs="Roboto"/>
          <w:sz w:val="20"/>
          <w:szCs w:val="20"/>
          <w:lang w:val="en-US"/>
        </w:rPr>
        <w:t>Hadad, S., Hadad, Y., &amp; Simon-Tuval, T. (2013). Determinants of healthcare system efficiency in OECD countries. The European Journal of Health Economics, 14(2), 253–265.</w:t>
      </w:r>
    </w:p>
    <w:p w14:paraId="50186B1B" w14:textId="360CCA1A" w:rsidR="002D05F8" w:rsidRPr="002D05F8" w:rsidRDefault="002D05F8" w:rsidP="002D05F8">
      <w:pPr>
        <w:jc w:val="both"/>
        <w:rPr>
          <w:rFonts w:ascii="Roboto" w:eastAsia="Roboto" w:hAnsi="Roboto" w:cs="Roboto"/>
          <w:sz w:val="20"/>
          <w:szCs w:val="20"/>
          <w:lang w:val="en-US"/>
        </w:rPr>
      </w:pPr>
      <w:r w:rsidRPr="002D05F8">
        <w:rPr>
          <w:rFonts w:ascii="Roboto" w:eastAsia="Roboto" w:hAnsi="Roboto" w:cs="Roboto"/>
          <w:sz w:val="20"/>
          <w:szCs w:val="20"/>
          <w:lang w:val="en-US"/>
        </w:rPr>
        <w:t xml:space="preserve">Jung, S., Son, J., Kim, C., &amp; Chung, K. (2023). Efficiency measurement using data envelopment analysis (DEA) in public healthcare: Research trends from 2017 to 2022. Processes, 11(3), 811. </w:t>
      </w:r>
    </w:p>
    <w:p w14:paraId="59736142" w14:textId="021B918F" w:rsidR="008035D7" w:rsidRDefault="002D05F8" w:rsidP="002D05F8">
      <w:pPr>
        <w:jc w:val="both"/>
        <w:rPr>
          <w:rFonts w:ascii="Roboto" w:eastAsia="Roboto" w:hAnsi="Roboto" w:cs="Roboto"/>
        </w:rPr>
      </w:pPr>
      <w:r w:rsidRPr="002D05F8">
        <w:rPr>
          <w:rFonts w:ascii="Roboto" w:eastAsia="Roboto" w:hAnsi="Roboto" w:cs="Roboto"/>
          <w:sz w:val="20"/>
          <w:szCs w:val="20"/>
          <w:lang w:val="en-US"/>
        </w:rPr>
        <w:t xml:space="preserve">Štefko, R., Gavurová, B., &amp; Kocisová, K. (2018). Healthcare efficiency assessment using DEA analysis in the Slovak Republic. </w:t>
      </w:r>
      <w:r w:rsidRPr="002D05F8">
        <w:rPr>
          <w:rFonts w:ascii="Roboto" w:eastAsia="Roboto" w:hAnsi="Roboto" w:cs="Roboto"/>
          <w:sz w:val="20"/>
          <w:szCs w:val="20"/>
        </w:rPr>
        <w:t>Health Economics Review, 8(1), 6.</w:t>
      </w:r>
    </w:p>
    <w:sectPr w:rsidR="008035D7">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87C6A" w14:textId="77777777" w:rsidR="002E176D" w:rsidRDefault="002E176D">
      <w:r>
        <w:separator/>
      </w:r>
    </w:p>
  </w:endnote>
  <w:endnote w:type="continuationSeparator" w:id="0">
    <w:p w14:paraId="7356A77B" w14:textId="77777777" w:rsidR="002E176D" w:rsidRDefault="002E17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8201267C-BCDA-B948-A927-27D3C05F2E23}"/>
    <w:embedBold r:id="rId2" w:fontKey="{4DDD95D6-F3BC-9648-A9E9-98977ADA0BC9}"/>
    <w:embedItalic r:id="rId3" w:fontKey="{B85B510E-5E86-4149-811F-CA93BB5509D6}"/>
  </w:font>
  <w:font w:name="Calibri">
    <w:panose1 w:val="020F0502020204030204"/>
    <w:charset w:val="00"/>
    <w:family w:val="swiss"/>
    <w:pitch w:val="variable"/>
    <w:sig w:usb0="E0002AFF" w:usb1="C000247B" w:usb2="00000009" w:usb3="00000000" w:csb0="000001FF" w:csb1="00000000"/>
    <w:embedRegular r:id="rId4" w:fontKey="{3AF40076-5A77-AD42-A79E-BDFFE21A39ED}"/>
  </w:font>
  <w:font w:name="Georgia">
    <w:panose1 w:val="02040502050405020303"/>
    <w:charset w:val="00"/>
    <w:family w:val="roman"/>
    <w:pitch w:val="variable"/>
    <w:sig w:usb0="00000287" w:usb1="00000000" w:usb2="00000000" w:usb3="00000000" w:csb0="0000009F" w:csb1="00000000"/>
    <w:embedRegular r:id="rId5" w:fontKey="{1E81064C-91C5-244B-9175-036CAB46893B}"/>
    <w:embedItalic r:id="rId6" w:fontKey="{A1D6B032-3E7A-334F-9E3A-98E7292DA4EF}"/>
  </w:font>
  <w:font w:name="Roboto">
    <w:panose1 w:val="02000000000000000000"/>
    <w:charset w:val="00"/>
    <w:family w:val="auto"/>
    <w:pitch w:val="variable"/>
    <w:sig w:usb0="E0000AFF" w:usb1="5000217F" w:usb2="00000021" w:usb3="00000000" w:csb0="0000019F" w:csb1="00000000"/>
    <w:embedRegular r:id="rId7" w:fontKey="{567A90D6-4201-F94D-9698-B598543D7087}"/>
    <w:embedBold r:id="rId8" w:fontKey="{FCF9497B-0B11-DB46-93F5-1AC665298BA0}"/>
  </w:font>
  <w:font w:name="Calibri Light">
    <w:panose1 w:val="020F0302020204030204"/>
    <w:charset w:val="00"/>
    <w:family w:val="swiss"/>
    <w:pitch w:val="variable"/>
    <w:sig w:usb0="E0002AFF" w:usb1="C000247B" w:usb2="00000009" w:usb3="00000000" w:csb0="000001FF" w:csb1="00000000"/>
    <w:embedRegular r:id="rId9" w:fontKey="{850A20B9-AA54-FD41-87A2-037682D8E3C1}"/>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D1255" w14:textId="77777777" w:rsidR="002E176D" w:rsidRDefault="002E176D">
      <w:r>
        <w:separator/>
      </w:r>
    </w:p>
  </w:footnote>
  <w:footnote w:type="continuationSeparator" w:id="0">
    <w:p w14:paraId="0C5607AE" w14:textId="77777777" w:rsidR="002E176D" w:rsidRDefault="002E17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93C21" w14:textId="77777777" w:rsidR="008035D7" w:rsidRDefault="008035D7">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035D7" w14:paraId="27E1A79A" w14:textId="77777777">
      <w:trPr>
        <w:trHeight w:val="345"/>
        <w:jc w:val="center"/>
      </w:trPr>
      <w:tc>
        <w:tcPr>
          <w:tcW w:w="6306" w:type="dxa"/>
          <w:vAlign w:val="center"/>
        </w:tcPr>
        <w:p w14:paraId="0EC49DAD" w14:textId="77777777" w:rsidR="008035D7" w:rsidRDefault="008035D7">
          <w:pPr>
            <w:jc w:val="center"/>
            <w:rPr>
              <w:i/>
              <w:sz w:val="18"/>
              <w:szCs w:val="18"/>
            </w:rPr>
          </w:pPr>
        </w:p>
      </w:tc>
    </w:tr>
  </w:tbl>
  <w:p w14:paraId="16E789CD" w14:textId="77777777" w:rsidR="008035D7" w:rsidRDefault="008035D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1"/>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5D7"/>
    <w:rsid w:val="00016291"/>
    <w:rsid w:val="00042069"/>
    <w:rsid w:val="00046D67"/>
    <w:rsid w:val="000F2D3C"/>
    <w:rsid w:val="001D3AB5"/>
    <w:rsid w:val="002404ED"/>
    <w:rsid w:val="002C6F1D"/>
    <w:rsid w:val="002D05F8"/>
    <w:rsid w:val="002E176D"/>
    <w:rsid w:val="002E2377"/>
    <w:rsid w:val="00341668"/>
    <w:rsid w:val="005010EA"/>
    <w:rsid w:val="0052265C"/>
    <w:rsid w:val="00532397"/>
    <w:rsid w:val="00655FFD"/>
    <w:rsid w:val="00701499"/>
    <w:rsid w:val="008035D7"/>
    <w:rsid w:val="00896401"/>
    <w:rsid w:val="008B11D6"/>
    <w:rsid w:val="00A80B67"/>
    <w:rsid w:val="00C10279"/>
    <w:rsid w:val="00CC7B1F"/>
    <w:rsid w:val="00D63875"/>
    <w:rsid w:val="00F10DA5"/>
    <w:rsid w:val="00F770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8A7FF"/>
  <w15:docId w15:val="{6A1BD5E2-27C8-4463-B59D-5940E15B3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2404ED"/>
    <w:pPr>
      <w:spacing w:before="100" w:beforeAutospacing="1" w:after="100" w:afterAutospacing="1"/>
    </w:pPr>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75372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749</Words>
  <Characters>4352</Characters>
  <Application>Microsoft Office Word</Application>
  <DocSecurity>0</DocSecurity>
  <Lines>111</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María Rosa Nieto Delfín</cp:lastModifiedBy>
  <cp:revision>2</cp:revision>
  <dcterms:created xsi:type="dcterms:W3CDTF">2026-01-23T17:37:00Z</dcterms:created>
  <dcterms:modified xsi:type="dcterms:W3CDTF">2026-01-23T17:37:00Z</dcterms:modified>
</cp:coreProperties>
</file>