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2E03AD">
      <w:pPr>
        <w:pBdr>
          <w:top w:val="none" w:color="auto" w:sz="0" w:space="0"/>
          <w:left w:val="none" w:color="auto" w:sz="0" w:space="0"/>
          <w:bottom w:val="none" w:color="auto" w:sz="0" w:space="0"/>
          <w:right w:val="none" w:color="auto" w:sz="0" w:space="0"/>
          <w:between w:val="none" w:color="auto" w:sz="0" w:space="0"/>
        </w:pBdr>
        <w:spacing w:before="120" w:after="120"/>
        <w:jc w:val="center"/>
        <w:rPr>
          <w:rFonts w:hint="default" w:ascii="Roboto" w:hAnsi="Roboto" w:eastAsia="Roboto" w:cs="Roboto"/>
          <w:b/>
          <w:color w:val="000000"/>
          <w:rtl w:val="0"/>
          <w:lang w:val="es-ES"/>
        </w:rPr>
      </w:pPr>
      <w:r>
        <w:rPr>
          <w:rFonts w:hint="default" w:ascii="Roboto" w:hAnsi="Roboto" w:eastAsia="Roboto" w:cs="Roboto"/>
          <w:b/>
          <w:color w:val="000000"/>
          <w:rtl w:val="0"/>
          <w:lang w:val="es-ES"/>
        </w:rPr>
        <w:t xml:space="preserve">Percepción de utilidad del EGEL Plus en la era de la Inteligencia Artificial. </w:t>
      </w:r>
    </w:p>
    <w:p w14:paraId="5673620A">
      <w:pPr>
        <w:pBdr>
          <w:top w:val="none" w:color="auto" w:sz="0" w:space="0"/>
          <w:left w:val="none" w:color="auto" w:sz="0" w:space="0"/>
          <w:bottom w:val="none" w:color="auto" w:sz="0" w:space="0"/>
          <w:right w:val="none" w:color="auto" w:sz="0" w:space="0"/>
          <w:between w:val="none" w:color="auto" w:sz="0" w:space="0"/>
        </w:pBdr>
        <w:spacing w:before="120" w:after="120"/>
        <w:jc w:val="center"/>
        <w:rPr>
          <w:rFonts w:hint="default" w:ascii="Roboto" w:hAnsi="Roboto" w:eastAsia="Roboto" w:cs="Roboto"/>
          <w:b/>
          <w:color w:val="000000"/>
          <w:rtl w:val="0"/>
          <w:lang w:val="es-ES"/>
        </w:rPr>
      </w:pPr>
      <w:r>
        <w:rPr>
          <w:rFonts w:hint="default" w:ascii="Roboto" w:hAnsi="Roboto" w:eastAsia="Roboto" w:cs="Roboto"/>
          <w:b/>
          <w:color w:val="000000"/>
          <w:rtl w:val="0"/>
          <w:lang w:val="es-ES"/>
        </w:rPr>
        <w:t>Resultados de un sondeo levantado en 2025 entre sustentantes</w:t>
      </w:r>
    </w:p>
    <w:p w14:paraId="00000002">
      <w:pPr>
        <w:pBdr>
          <w:top w:val="none" w:color="auto" w:sz="0" w:space="0"/>
          <w:left w:val="none" w:color="auto" w:sz="0" w:space="0"/>
          <w:bottom w:val="none" w:color="auto" w:sz="0" w:space="0"/>
          <w:right w:val="none" w:color="auto" w:sz="0" w:space="0"/>
          <w:between w:val="none" w:color="auto" w:sz="0" w:space="0"/>
        </w:pBdr>
        <w:spacing w:before="120" w:after="120"/>
        <w:jc w:val="center"/>
        <w:rPr>
          <w:rFonts w:hint="default" w:ascii="Roboto" w:hAnsi="Roboto" w:eastAsia="Roboto" w:cs="Roboto"/>
          <w:b/>
          <w:color w:val="000000"/>
          <w:sz w:val="20"/>
          <w:szCs w:val="20"/>
          <w:lang w:val="es-ES"/>
        </w:rPr>
      </w:pPr>
      <w:r>
        <w:rPr>
          <w:rFonts w:hint="default" w:ascii="Roboto" w:hAnsi="Roboto" w:eastAsia="Roboto" w:cs="Roboto"/>
          <w:b/>
          <w:color w:val="000000"/>
          <w:sz w:val="20"/>
          <w:szCs w:val="20"/>
          <w:rtl w:val="0"/>
          <w:lang w:val="es-ES"/>
        </w:rPr>
        <w:t>Portas-Ruiz E</w:t>
      </w:r>
      <w:r>
        <w:rPr>
          <w:rFonts w:ascii="Roboto" w:hAnsi="Roboto" w:eastAsia="Roboto" w:cs="Roboto"/>
          <w:b/>
          <w:color w:val="000000"/>
          <w:sz w:val="20"/>
          <w:szCs w:val="20"/>
          <w:rtl w:val="0"/>
        </w:rPr>
        <w:t>.</w:t>
      </w:r>
      <w:r>
        <w:rPr>
          <w:rFonts w:hint="default" w:ascii="Roboto" w:hAnsi="Roboto" w:eastAsia="Roboto" w:cs="Roboto"/>
          <w:b/>
          <w:color w:val="000000"/>
          <w:sz w:val="20"/>
          <w:szCs w:val="20"/>
          <w:rtl w:val="0"/>
          <w:lang w:val="es-ES"/>
        </w:rPr>
        <w:t xml:space="preserve"> </w:t>
      </w:r>
      <w:r>
        <w:rPr>
          <w:rFonts w:hint="default" w:ascii="Roboto" w:hAnsi="Roboto" w:eastAsia="Roboto" w:cs="Roboto"/>
          <w:b/>
          <w:color w:val="000000"/>
          <w:sz w:val="20"/>
          <w:szCs w:val="20"/>
          <w:vertAlign w:val="superscript"/>
          <w:rtl w:val="0"/>
          <w:lang w:val="es-ES"/>
        </w:rPr>
        <w:t>1</w:t>
      </w:r>
    </w:p>
    <w:p w14:paraId="00000003">
      <w:pPr>
        <w:pBdr>
          <w:top w:val="none" w:color="auto" w:sz="0" w:space="0"/>
          <w:left w:val="none" w:color="auto" w:sz="0" w:space="0"/>
          <w:bottom w:val="none" w:color="auto" w:sz="0" w:space="0"/>
          <w:right w:val="none" w:color="auto" w:sz="0" w:space="0"/>
          <w:between w:val="none" w:color="auto" w:sz="0" w:space="0"/>
        </w:pBdr>
        <w:jc w:val="center"/>
        <w:rPr>
          <w:rFonts w:ascii="Roboto" w:hAnsi="Roboto" w:eastAsia="Roboto" w:cs="Roboto"/>
          <w:color w:val="000000"/>
          <w:sz w:val="18"/>
          <w:szCs w:val="18"/>
          <w:vertAlign w:val="superscript"/>
        </w:rPr>
      </w:pPr>
      <w:r>
        <w:rPr>
          <w:rFonts w:hint="default" w:ascii="Roboto" w:hAnsi="Roboto" w:eastAsia="Roboto" w:cs="Roboto"/>
          <w:color w:val="000000"/>
          <w:sz w:val="18"/>
          <w:szCs w:val="18"/>
          <w:rtl w:val="0"/>
          <w:lang w:val="es-ES"/>
        </w:rPr>
        <w:t>Universidad Anáhuac México,</w:t>
      </w:r>
      <w:r>
        <w:rPr>
          <w:rFonts w:ascii="Roboto" w:hAnsi="Roboto" w:eastAsia="Roboto" w:cs="Roboto"/>
          <w:color w:val="000000"/>
          <w:sz w:val="18"/>
          <w:szCs w:val="18"/>
          <w:rtl w:val="0"/>
        </w:rPr>
        <w:t xml:space="preserve"> </w:t>
      </w:r>
      <w:r>
        <w:rPr>
          <w:rFonts w:hint="default" w:ascii="Roboto" w:hAnsi="Roboto" w:eastAsia="Roboto"/>
          <w:color w:val="000000"/>
          <w:sz w:val="18"/>
          <w:szCs w:val="18"/>
          <w:rtl w:val="0"/>
        </w:rPr>
        <w:t>https://orcid.org/0000-0001-9117-0061</w:t>
      </w:r>
    </w:p>
    <w:p w14:paraId="00000005">
      <w:pPr>
        <w:jc w:val="center"/>
        <w:rPr>
          <w:rFonts w:hint="default" w:ascii="Roboto" w:hAnsi="Roboto" w:eastAsia="Roboto" w:cs="Roboto"/>
          <w:sz w:val="18"/>
          <w:szCs w:val="18"/>
          <w:lang w:val="es-ES"/>
        </w:rPr>
      </w:pPr>
      <w:r>
        <w:rPr>
          <w:rFonts w:ascii="Roboto" w:hAnsi="Roboto" w:eastAsia="Roboto" w:cs="Roboto"/>
          <w:sz w:val="18"/>
          <w:szCs w:val="18"/>
          <w:rtl w:val="0"/>
        </w:rPr>
        <w:t>*</w:t>
      </w:r>
      <w:r>
        <w:rPr>
          <w:rFonts w:hint="default" w:ascii="Roboto" w:hAnsi="Roboto" w:eastAsia="Roboto" w:cs="Roboto"/>
          <w:sz w:val="18"/>
          <w:szCs w:val="18"/>
          <w:rtl w:val="0"/>
          <w:lang w:val="es-ES"/>
        </w:rPr>
        <w:t>eduardo.portas@anahuac.mx</w:t>
      </w:r>
    </w:p>
    <w:p w14:paraId="159B98CC">
      <w:pPr>
        <w:spacing w:before="60"/>
        <w:jc w:val="center"/>
        <w:rPr>
          <w:rFonts w:ascii="Roboto" w:hAnsi="Roboto" w:eastAsia="Roboto" w:cs="Roboto"/>
          <w:sz w:val="18"/>
          <w:szCs w:val="18"/>
        </w:rPr>
      </w:pPr>
    </w:p>
    <w:p w14:paraId="7191AFBC">
      <w:pPr>
        <w:spacing w:before="60"/>
        <w:jc w:val="center"/>
        <w:rPr>
          <w:rFonts w:ascii="Roboto" w:hAnsi="Roboto" w:eastAsia="Roboto" w:cs="Roboto"/>
          <w:sz w:val="18"/>
          <w:szCs w:val="18"/>
        </w:rPr>
        <w:sectPr>
          <w:headerReference r:id="rId3" w:type="default"/>
          <w:pgSz w:w="11906" w:h="16838"/>
          <w:pgMar w:top="851" w:right="851" w:bottom="828" w:left="851" w:header="357" w:footer="720" w:gutter="0"/>
          <w:pgNumType w:start="1"/>
          <w:cols w:space="720" w:num="1"/>
        </w:sectPr>
      </w:pPr>
    </w:p>
    <w:p w14:paraId="12920FDA">
      <w:pPr>
        <w:pBdr>
          <w:top w:val="none" w:color="auto" w:sz="0" w:space="0"/>
          <w:left w:val="none" w:color="auto" w:sz="0" w:space="0"/>
          <w:bottom w:val="none" w:color="auto" w:sz="0" w:space="0"/>
          <w:right w:val="none" w:color="auto" w:sz="0" w:space="0"/>
          <w:between w:val="none" w:color="auto" w:sz="0" w:space="0"/>
        </w:pBdr>
        <w:jc w:val="both"/>
        <w:rPr>
          <w:rFonts w:hint="default" w:ascii="Roboto" w:hAnsi="Roboto" w:eastAsia="Roboto" w:cs="Roboto"/>
          <w:b/>
          <w:color w:val="000000"/>
          <w:sz w:val="20"/>
          <w:szCs w:val="20"/>
          <w:rtl w:val="0"/>
          <w:lang w:val="es-ES"/>
        </w:rPr>
      </w:pPr>
      <w:r>
        <w:rPr>
          <w:rFonts w:hint="default" w:ascii="Roboto" w:hAnsi="Roboto" w:eastAsia="Roboto" w:cs="Roboto"/>
          <w:b/>
          <w:color w:val="000000"/>
          <w:sz w:val="20"/>
          <w:szCs w:val="20"/>
          <w:rtl w:val="0"/>
          <w:lang w:val="es-ES"/>
        </w:rPr>
        <w:t>INTRODUCCIÓN</w:t>
      </w:r>
    </w:p>
    <w:p w14:paraId="4AB2B9F7">
      <w:pPr>
        <w:pBdr>
          <w:top w:val="none" w:color="auto" w:sz="0" w:space="0"/>
          <w:left w:val="none" w:color="auto" w:sz="0" w:space="0"/>
          <w:bottom w:val="none" w:color="auto" w:sz="0" w:space="0"/>
          <w:right w:val="none" w:color="auto" w:sz="0" w:space="0"/>
          <w:between w:val="none" w:color="auto" w:sz="0" w:space="0"/>
        </w:pBdr>
        <w:jc w:val="both"/>
        <w:rPr>
          <w:rFonts w:hint="default" w:ascii="Roboto" w:hAnsi="Roboto" w:eastAsia="Roboto"/>
          <w:b w:val="0"/>
          <w:bCs/>
          <w:color w:val="000000"/>
          <w:sz w:val="20"/>
          <w:szCs w:val="20"/>
          <w:rtl w:val="0"/>
          <w:lang w:val="es-ES"/>
        </w:rPr>
      </w:pPr>
      <w:r>
        <w:rPr>
          <w:rFonts w:hint="default" w:ascii="Roboto" w:hAnsi="Roboto" w:eastAsia="Roboto" w:cs="Roboto"/>
          <w:b w:val="0"/>
          <w:bCs/>
          <w:color w:val="000000"/>
          <w:sz w:val="20"/>
          <w:szCs w:val="20"/>
          <w:rtl w:val="0"/>
          <w:lang w:val="es-ES"/>
        </w:rPr>
        <w:t xml:space="preserve">El Examen General para el Egreso de Licenciatura (EGEL) es una prueba estandarizada creada y administrada por el </w:t>
      </w:r>
      <w:r>
        <w:rPr>
          <w:rFonts w:hint="default" w:ascii="Roboto" w:hAnsi="Roboto" w:eastAsia="Roboto"/>
          <w:b w:val="0"/>
          <w:bCs/>
          <w:color w:val="000000"/>
          <w:sz w:val="20"/>
          <w:szCs w:val="20"/>
          <w:rtl w:val="0"/>
          <w:lang w:val="es-ES"/>
        </w:rPr>
        <w:t xml:space="preserve">Centro Nacional de Evaluación para la Educación Superior, A C. </w:t>
      </w:r>
      <w:r>
        <w:rPr>
          <w:rFonts w:hint="default" w:ascii="Roboto" w:hAnsi="Roboto" w:eastAsia="Roboto" w:cs="Roboto"/>
          <w:b w:val="0"/>
          <w:bCs/>
          <w:color w:val="000000"/>
          <w:sz w:val="20"/>
          <w:szCs w:val="20"/>
          <w:rtl w:val="0"/>
          <w:lang w:val="es-ES"/>
        </w:rPr>
        <w:t xml:space="preserve">(CENEVAL) que se aplica a 42 programas de estudio diferentes. Su objetivo es </w:t>
      </w:r>
      <w:r>
        <w:rPr>
          <w:rFonts w:hint="default" w:ascii="Roboto" w:hAnsi="Roboto" w:eastAsia="Roboto"/>
          <w:b w:val="0"/>
          <w:bCs/>
          <w:color w:val="000000"/>
          <w:sz w:val="20"/>
          <w:szCs w:val="20"/>
          <w:rtl w:val="0"/>
          <w:lang w:val="es-ES"/>
        </w:rPr>
        <w:t xml:space="preserve">evaluar los conocimientos y habilidades indispensables en los recién egresados de licenciatura. </w:t>
      </w:r>
      <w:r>
        <w:rPr>
          <w:rFonts w:hint="default" w:ascii="Roboto" w:hAnsi="Roboto" w:eastAsia="Roboto" w:cs="Roboto"/>
          <w:b w:val="0"/>
          <w:bCs/>
          <w:color w:val="000000"/>
          <w:sz w:val="20"/>
          <w:szCs w:val="20"/>
          <w:rtl w:val="0"/>
          <w:lang w:val="es-ES"/>
        </w:rPr>
        <w:t xml:space="preserve">En 2023, último dato público disponible, este organismo aplicó </w:t>
      </w:r>
      <w:r>
        <w:rPr>
          <w:rFonts w:hint="default" w:ascii="Roboto" w:hAnsi="Roboto" w:eastAsia="Roboto"/>
          <w:b w:val="0"/>
          <w:bCs/>
          <w:color w:val="000000"/>
          <w:sz w:val="20"/>
          <w:szCs w:val="20"/>
          <w:rtl w:val="0"/>
          <w:lang w:val="es-ES"/>
        </w:rPr>
        <w:t>208 mil 905 pruebas EGEL Plus — la versión más actualizada de este instrumento — en sus distintas modalidades (CENEVAL, 2024). Este examen consta de dos grandes secciones: la disciplinar, vinculada a los aspectos más importantes de la teoría y práctica de cada programa de estudio, y la transversal, asociada al aprovechamiento de las habilidades de lenguaje y comunicación del alumno. Las preguntas disciplinares son del tipo de estudio de caso. Las de comunicación y lenguaje incluyen sobre todo ejercicios de lectura de comprensión de extensos textos. En total, el examen consta de unos 235 reactivos. La prueba se ha vuelto importante en diversos centros de educación superior del país por pertenecer a un organismo independiente y externo a cualquier iniciativa gubernamental. Así, permite conoce el nivel de aprovechamiento de los alumnos para compararlo con sus colegas de otras instituciones, lo que repercute, entre otras cosas, en la percepción de prestigio educativo de éstas. Como sostiene Gago (2000) la prueba debe ser vista como un complemento a la labor docente para cumplir la enseñanza del mínimo esencial que todo egresado debe conocer en su área.</w:t>
      </w:r>
    </w:p>
    <w:p w14:paraId="10053F53">
      <w:pPr>
        <w:pBdr>
          <w:top w:val="none" w:color="auto" w:sz="0" w:space="0"/>
          <w:left w:val="none" w:color="auto" w:sz="0" w:space="0"/>
          <w:bottom w:val="none" w:color="auto" w:sz="0" w:space="0"/>
          <w:right w:val="none" w:color="auto" w:sz="0" w:space="0"/>
          <w:between w:val="none" w:color="auto" w:sz="0" w:space="0"/>
        </w:pBdr>
        <w:jc w:val="both"/>
        <w:rPr>
          <w:rFonts w:hint="default" w:ascii="Roboto" w:hAnsi="Roboto" w:eastAsia="Roboto" w:cs="Roboto"/>
          <w:b w:val="0"/>
          <w:bCs/>
          <w:color w:val="000000"/>
          <w:sz w:val="20"/>
          <w:szCs w:val="20"/>
          <w:rtl w:val="0"/>
          <w:lang w:val="es-ES"/>
        </w:rPr>
      </w:pPr>
      <w:r>
        <w:rPr>
          <w:rFonts w:hint="default" w:ascii="Roboto" w:hAnsi="Roboto" w:eastAsia="Roboto" w:cs="Roboto"/>
          <w:b w:val="0"/>
          <w:bCs/>
          <w:color w:val="000000"/>
          <w:sz w:val="20"/>
          <w:szCs w:val="20"/>
          <w:rtl w:val="0"/>
          <w:lang w:val="es-ES"/>
        </w:rPr>
        <w:t>Dicho lo anterior, la incursión de la Inteligencia Artificial en el ámbito profesional mexicano ha modificado el entorno en el cual se desarrollan los egresados universitarios, tanto por las posibilidades que estas herramientas le facultan para resolver problemas complejos como aumentar su productividad. Por tanto, la indagatoria tuvo por objetivo explorar la percepción de los sustentantes del instrumento EGEL Plus en un entorno profesional en donde el uso de la IA se ha vuelto cada vez habitual. Retomando a Strate (2017) y su modelo de zigurat de entornos tecnológicos, cuando la base tecnológica de esta pirámide escalonada se modifica se producen cambios en la parte alta de la misma, es decir, la que compete al nivel de interacción social, así como al del sentido simbólico y lingüístico.</w:t>
      </w:r>
    </w:p>
    <w:p w14:paraId="5A4CEF37">
      <w:pPr>
        <w:pBdr>
          <w:top w:val="none" w:color="auto" w:sz="0" w:space="0"/>
          <w:left w:val="none" w:color="auto" w:sz="0" w:space="0"/>
          <w:bottom w:val="none" w:color="auto" w:sz="0" w:space="0"/>
          <w:right w:val="none" w:color="auto" w:sz="0" w:space="0"/>
          <w:between w:val="none" w:color="auto" w:sz="0" w:space="0"/>
        </w:pBdr>
        <w:jc w:val="both"/>
        <w:rPr>
          <w:rFonts w:hint="default" w:ascii="Roboto" w:hAnsi="Roboto" w:eastAsia="Roboto" w:cs="Roboto"/>
          <w:b w:val="0"/>
          <w:bCs/>
          <w:color w:val="000000"/>
          <w:sz w:val="20"/>
          <w:szCs w:val="20"/>
          <w:rtl w:val="0"/>
          <w:lang w:val="es-ES"/>
        </w:rPr>
      </w:pPr>
    </w:p>
    <w:p w14:paraId="2121A745">
      <w:pPr>
        <w:pBdr>
          <w:top w:val="none" w:color="auto" w:sz="0" w:space="0"/>
          <w:left w:val="none" w:color="auto" w:sz="0" w:space="0"/>
          <w:bottom w:val="none" w:color="auto" w:sz="0" w:space="0"/>
          <w:right w:val="none" w:color="auto" w:sz="0" w:space="0"/>
          <w:between w:val="none" w:color="auto" w:sz="0" w:space="0"/>
        </w:pBdr>
        <w:jc w:val="both"/>
        <w:rPr>
          <w:rFonts w:hint="default" w:ascii="Roboto" w:hAnsi="Roboto" w:eastAsia="Roboto" w:cs="Roboto"/>
          <w:b/>
          <w:color w:val="000000"/>
          <w:sz w:val="20"/>
          <w:szCs w:val="20"/>
          <w:rtl w:val="0"/>
          <w:lang w:val="es-ES"/>
        </w:rPr>
      </w:pPr>
      <w:r>
        <w:rPr>
          <w:rFonts w:hint="default" w:ascii="Roboto" w:hAnsi="Roboto" w:eastAsia="Roboto" w:cs="Roboto"/>
          <w:b/>
          <w:color w:val="000000"/>
          <w:sz w:val="20"/>
          <w:szCs w:val="20"/>
          <w:rtl w:val="0"/>
          <w:lang w:val="es-ES"/>
        </w:rPr>
        <w:t>ANTECEDENTES</w:t>
      </w:r>
    </w:p>
    <w:p w14:paraId="2FCB3C6D">
      <w:pPr>
        <w:pBdr>
          <w:top w:val="none" w:color="auto" w:sz="0" w:space="0"/>
          <w:left w:val="none" w:color="auto" w:sz="0" w:space="0"/>
          <w:bottom w:val="none" w:color="auto" w:sz="0" w:space="0"/>
          <w:right w:val="none" w:color="auto" w:sz="0" w:space="0"/>
          <w:between w:val="none" w:color="auto" w:sz="0" w:space="0"/>
        </w:pBdr>
        <w:jc w:val="both"/>
        <w:rPr>
          <w:rFonts w:hint="default" w:ascii="Roboto" w:hAnsi="Roboto" w:eastAsia="Roboto"/>
          <w:color w:val="000000"/>
          <w:sz w:val="20"/>
          <w:szCs w:val="20"/>
          <w:rtl w:val="0"/>
        </w:rPr>
      </w:pPr>
      <w:r>
        <w:rPr>
          <w:sz w:val="20"/>
        </w:rPr>
        <mc:AlternateContent>
          <mc:Choice Requires="wps">
            <w:drawing>
              <wp:anchor distT="0" distB="0" distL="114300" distR="114300" simplePos="0" relativeHeight="251659264" behindDoc="0" locked="0" layoutInCell="1" allowOverlap="1">
                <wp:simplePos x="0" y="0"/>
                <wp:positionH relativeFrom="column">
                  <wp:posOffset>12700</wp:posOffset>
                </wp:positionH>
                <wp:positionV relativeFrom="paragraph">
                  <wp:posOffset>559435</wp:posOffset>
                </wp:positionV>
                <wp:extent cx="6294755" cy="202565"/>
                <wp:effectExtent l="0" t="0" r="4445" b="635"/>
                <wp:wrapNone/>
                <wp:docPr id="1" name="Cuadro de texto 1"/>
                <wp:cNvGraphicFramePr/>
                <a:graphic xmlns:a="http://schemas.openxmlformats.org/drawingml/2006/main">
                  <a:graphicData uri="http://schemas.microsoft.com/office/word/2010/wordprocessingShape">
                    <wps:wsp>
                      <wps:cNvSpPr txBox="1"/>
                      <wps:spPr>
                        <a:xfrm>
                          <a:off x="2735580" y="3957955"/>
                          <a:ext cx="6294755" cy="202565"/>
                        </a:xfrm>
                        <a:prstGeom prst="rect">
                          <a:avLst/>
                        </a:prstGeom>
                        <a:solidFill>
                          <a:schemeClr val="lt1"/>
                        </a:solidFill>
                        <a:ln w="6350" cap="flat" cmpd="sng">
                          <a:noFill/>
                          <a:prstDash val="solid"/>
                        </a:ln>
                      </wps:spPr>
                      <wps:style>
                        <a:lnRef idx="0">
                          <a:schemeClr val="accent1"/>
                        </a:lnRef>
                        <a:fillRef idx="0">
                          <a:schemeClr val="accent1"/>
                        </a:fillRef>
                        <a:effectRef idx="0">
                          <a:schemeClr val="accent1"/>
                        </a:effectRef>
                        <a:fontRef idx="minor">
                          <a:schemeClr val="dk1"/>
                        </a:fontRef>
                      </wps:style>
                      <wps:txbx>
                        <w:txbxContent>
                          <w:p w14:paraId="0B339B43">
                            <w:pPr>
                              <w:rPr>
                                <w:rFonts w:hint="default" w:ascii="Roboto Italic" w:hAnsi="Roboto Italic" w:cs="Roboto Italic"/>
                                <w:i/>
                                <w:iCs/>
                                <w:sz w:val="14"/>
                                <w:szCs w:val="14"/>
                                <w:lang w:val="es-ES"/>
                              </w:rPr>
                            </w:pPr>
                            <w:r>
                              <w:rPr>
                                <w:rFonts w:hint="default" w:ascii="Roboto Italic" w:hAnsi="Roboto Italic" w:cs="Roboto Italic"/>
                                <w:i/>
                                <w:iCs/>
                                <w:sz w:val="14"/>
                                <w:szCs w:val="14"/>
                                <w:vertAlign w:val="superscript"/>
                                <w:lang w:val="es-ES"/>
                              </w:rPr>
                              <w:t xml:space="preserve">1 </w:t>
                            </w:r>
                            <w:r>
                              <w:rPr>
                                <w:rFonts w:hint="default" w:ascii="Roboto Italic" w:hAnsi="Roboto Italic" w:cs="Roboto Italic"/>
                                <w:i/>
                                <w:iCs/>
                                <w:sz w:val="14"/>
                                <w:szCs w:val="14"/>
                                <w:lang w:val="es-ES"/>
                              </w:rPr>
                              <w:t>El autor es profesor investigador del CICA de la Universidad Anáhuac México especializado en la hipermediatización y los cambios del entorno digital juvenil.</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pt;margin-top:44.05pt;height:15.95pt;width:495.65pt;z-index:251659264;mso-width-relative:page;mso-height-relative:page;" fillcolor="#FFFFFF [3201]" filled="t" stroked="f" coordsize="21600,21600" o:gfxdata="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5W8h9dMAAAAIAQAADwAAAAAAAAABACAAAAAiAAAAZHJzL2Rvd25yZXYueG1sUEsBAhQA&#10;FAAAAAgAh07iQFn5AkBpAgAA0AQAAA4AAAAAAAAAAQAgAAAAIgEAAGRycy9lMm9Eb2MueG1sUEsF&#10;BgAAAAAGAAYAWQEAAP0FAAAAAA==&#10;">
                <v:fill on="t" focussize="0,0"/>
                <v:stroke on="f" weight="0.5pt"/>
                <v:imagedata o:title=""/>
                <o:lock v:ext="edit" aspectratio="f"/>
                <v:textbox>
                  <w:txbxContent>
                    <w:p w14:paraId="0B339B43">
                      <w:pPr>
                        <w:rPr>
                          <w:rFonts w:hint="default" w:ascii="Roboto Italic" w:hAnsi="Roboto Italic" w:cs="Roboto Italic"/>
                          <w:i/>
                          <w:iCs/>
                          <w:sz w:val="14"/>
                          <w:szCs w:val="14"/>
                          <w:lang w:val="es-ES"/>
                        </w:rPr>
                      </w:pPr>
                      <w:r>
                        <w:rPr>
                          <w:rFonts w:hint="default" w:ascii="Roboto Italic" w:hAnsi="Roboto Italic" w:cs="Roboto Italic"/>
                          <w:i/>
                          <w:iCs/>
                          <w:sz w:val="14"/>
                          <w:szCs w:val="14"/>
                          <w:vertAlign w:val="superscript"/>
                          <w:lang w:val="es-ES"/>
                        </w:rPr>
                        <w:t xml:space="preserve">1 </w:t>
                      </w:r>
                      <w:r>
                        <w:rPr>
                          <w:rFonts w:hint="default" w:ascii="Roboto Italic" w:hAnsi="Roboto Italic" w:cs="Roboto Italic"/>
                          <w:i/>
                          <w:iCs/>
                          <w:sz w:val="14"/>
                          <w:szCs w:val="14"/>
                          <w:lang w:val="es-ES"/>
                        </w:rPr>
                        <w:t>El autor es profesor investigador del CICA de la Universidad Anáhuac México especializado en la hipermediatización y los cambios del entorno digital juvenil.</w:t>
                      </w:r>
                    </w:p>
                  </w:txbxContent>
                </v:textbox>
              </v:shape>
            </w:pict>
          </mc:Fallback>
        </mc:AlternateContent>
      </w:r>
      <w:r>
        <w:rPr>
          <w:rFonts w:hint="default" w:ascii="Roboto" w:hAnsi="Roboto" w:eastAsia="Roboto"/>
          <w:color w:val="000000"/>
          <w:sz w:val="20"/>
          <w:szCs w:val="20"/>
          <w:rtl w:val="0"/>
        </w:rPr>
        <w:t xml:space="preserve">Si bien no existen trabajos de corte académico en donde se aborda el tema de la percepción del alumnado de la utilidad de la prueba EGEL o EGEL Plus </w:t>
      </w:r>
    </w:p>
    <w:p w14:paraId="4D1EE4DD">
      <w:pPr>
        <w:pBdr>
          <w:top w:val="none" w:color="auto" w:sz="0" w:space="0"/>
          <w:left w:val="none" w:color="auto" w:sz="0" w:space="0"/>
          <w:bottom w:val="none" w:color="auto" w:sz="0" w:space="0"/>
          <w:right w:val="none" w:color="auto" w:sz="0" w:space="0"/>
          <w:between w:val="none" w:color="auto" w:sz="0" w:space="0"/>
        </w:pBdr>
        <w:jc w:val="both"/>
        <w:rPr>
          <w:rFonts w:hint="default" w:ascii="Roboto" w:hAnsi="Roboto" w:eastAsia="Roboto"/>
          <w:color w:val="000000"/>
          <w:sz w:val="20"/>
          <w:szCs w:val="20"/>
          <w:rtl w:val="0"/>
        </w:rPr>
      </w:pPr>
    </w:p>
    <w:p w14:paraId="186BAC89">
      <w:pPr>
        <w:pBdr>
          <w:top w:val="none" w:color="auto" w:sz="0" w:space="0"/>
          <w:left w:val="none" w:color="auto" w:sz="0" w:space="0"/>
          <w:bottom w:val="none" w:color="auto" w:sz="0" w:space="0"/>
          <w:right w:val="none" w:color="auto" w:sz="0" w:space="0"/>
          <w:between w:val="none" w:color="auto" w:sz="0" w:space="0"/>
        </w:pBdr>
        <w:jc w:val="both"/>
        <w:rPr>
          <w:rFonts w:hint="default" w:ascii="Roboto" w:hAnsi="Roboto" w:eastAsia="Roboto"/>
          <w:color w:val="000000"/>
          <w:sz w:val="20"/>
          <w:szCs w:val="20"/>
          <w:rtl w:val="0"/>
          <w:lang w:val="es-ES"/>
        </w:rPr>
      </w:pPr>
      <w:r>
        <w:rPr>
          <w:rFonts w:hint="default" w:ascii="Roboto" w:hAnsi="Roboto" w:eastAsia="Roboto"/>
          <w:color w:val="000000"/>
          <w:sz w:val="20"/>
          <w:szCs w:val="20"/>
          <w:rtl w:val="0"/>
        </w:rPr>
        <w:t>en un entorno que incluye I</w:t>
      </w:r>
      <w:r>
        <w:rPr>
          <w:rFonts w:hint="default" w:ascii="Roboto" w:hAnsi="Roboto" w:eastAsia="Roboto"/>
          <w:color w:val="000000"/>
          <w:sz w:val="20"/>
          <w:szCs w:val="20"/>
          <w:rtl w:val="0"/>
          <w:lang w:val="es-ES"/>
        </w:rPr>
        <w:t>A</w:t>
      </w:r>
      <w:r>
        <w:rPr>
          <w:rFonts w:hint="default" w:ascii="Roboto" w:hAnsi="Roboto" w:eastAsia="Roboto"/>
          <w:color w:val="000000"/>
          <w:sz w:val="20"/>
          <w:szCs w:val="20"/>
          <w:rtl w:val="0"/>
        </w:rPr>
        <w:t>, otros autores han estudiado diversos aspectos de esta evaluación.</w:t>
      </w:r>
      <w:r>
        <w:rPr>
          <w:rFonts w:hint="default" w:ascii="Roboto" w:hAnsi="Roboto" w:eastAsia="Roboto"/>
          <w:color w:val="000000"/>
          <w:sz w:val="20"/>
          <w:szCs w:val="20"/>
          <w:rtl w:val="0"/>
          <w:lang w:val="es-ES"/>
        </w:rPr>
        <w:t xml:space="preserve"> </w:t>
      </w:r>
      <w:r>
        <w:rPr>
          <w:rFonts w:hint="default" w:ascii="Roboto" w:hAnsi="Roboto" w:eastAsia="Roboto"/>
          <w:color w:val="000000"/>
          <w:sz w:val="20"/>
          <w:szCs w:val="20"/>
          <w:rtl w:val="0"/>
        </w:rPr>
        <w:t>El mayor número de investigaciones</w:t>
      </w:r>
      <w:r>
        <w:rPr>
          <w:rFonts w:hint="default" w:ascii="Roboto" w:hAnsi="Roboto" w:eastAsia="Roboto"/>
          <w:color w:val="000000"/>
          <w:sz w:val="20"/>
          <w:szCs w:val="20"/>
          <w:rtl w:val="0"/>
          <w:lang w:val="es-ES"/>
        </w:rPr>
        <w:t xml:space="preserve"> </w:t>
      </w:r>
      <w:r>
        <w:rPr>
          <w:rFonts w:hint="default" w:ascii="Roboto" w:hAnsi="Roboto" w:eastAsia="Roboto"/>
          <w:color w:val="000000"/>
          <w:sz w:val="20"/>
          <w:szCs w:val="20"/>
          <w:rtl w:val="0"/>
        </w:rPr>
        <w:t xml:space="preserve">abordan </w:t>
      </w:r>
      <w:r>
        <w:rPr>
          <w:rFonts w:hint="default" w:ascii="Roboto" w:hAnsi="Roboto" w:eastAsia="Roboto"/>
          <w:color w:val="000000"/>
          <w:sz w:val="20"/>
          <w:szCs w:val="20"/>
          <w:rtl w:val="0"/>
          <w:lang w:val="es-ES"/>
        </w:rPr>
        <w:t xml:space="preserve">a) </w:t>
      </w:r>
      <w:r>
        <w:rPr>
          <w:rFonts w:hint="default" w:ascii="Roboto" w:hAnsi="Roboto" w:eastAsia="Roboto"/>
          <w:color w:val="000000"/>
          <w:sz w:val="20"/>
          <w:szCs w:val="20"/>
          <w:rtl w:val="0"/>
        </w:rPr>
        <w:t>los predictores del rendimiento académico y resultados del EGEL</w:t>
      </w:r>
      <w:r>
        <w:rPr>
          <w:rFonts w:hint="default" w:ascii="Roboto" w:hAnsi="Roboto" w:eastAsia="Roboto"/>
          <w:color w:val="000000"/>
          <w:sz w:val="20"/>
          <w:szCs w:val="20"/>
          <w:rtl w:val="0"/>
          <w:lang w:val="es-ES"/>
        </w:rPr>
        <w:t xml:space="preserve"> </w:t>
      </w:r>
      <w:r>
        <w:rPr>
          <w:rFonts w:hint="default" w:ascii="Roboto" w:hAnsi="Roboto" w:eastAsia="Roboto"/>
          <w:color w:val="000000"/>
          <w:sz w:val="20"/>
          <w:szCs w:val="20"/>
          <w:rtl w:val="0"/>
        </w:rPr>
        <w:t xml:space="preserve">(García </w:t>
      </w:r>
      <w:r>
        <w:rPr>
          <w:rFonts w:hint="default" w:ascii="Roboto Italic" w:hAnsi="Roboto Italic" w:eastAsia="Roboto" w:cs="Roboto Italic"/>
          <w:i/>
          <w:iCs/>
          <w:color w:val="000000"/>
          <w:sz w:val="20"/>
          <w:szCs w:val="20"/>
          <w:rtl w:val="0"/>
        </w:rPr>
        <w:t xml:space="preserve">et </w:t>
      </w:r>
      <w:r>
        <w:rPr>
          <w:rFonts w:hint="default" w:ascii="Roboto Italic" w:hAnsi="Roboto Italic" w:eastAsia="Roboto" w:cs="Roboto Italic"/>
          <w:i w:val="0"/>
          <w:iCs w:val="0"/>
          <w:color w:val="000000"/>
          <w:sz w:val="20"/>
          <w:szCs w:val="20"/>
          <w:rtl w:val="0"/>
        </w:rPr>
        <w:t>a</w:t>
      </w:r>
      <w:r>
        <w:rPr>
          <w:rFonts w:hint="default" w:ascii="Roboto Italic" w:hAnsi="Roboto Italic" w:eastAsia="Roboto" w:cs="Roboto Italic"/>
          <w:i/>
          <w:iCs/>
          <w:color w:val="000000"/>
          <w:sz w:val="20"/>
          <w:szCs w:val="20"/>
          <w:rtl w:val="0"/>
        </w:rPr>
        <w:t>l</w:t>
      </w:r>
      <w:r>
        <w:rPr>
          <w:rFonts w:hint="default" w:ascii="Roboto" w:hAnsi="Roboto" w:eastAsia="Roboto"/>
          <w:color w:val="000000"/>
          <w:sz w:val="20"/>
          <w:szCs w:val="20"/>
          <w:rtl w:val="0"/>
        </w:rPr>
        <w:t xml:space="preserve">., </w:t>
      </w:r>
      <w:r>
        <w:rPr>
          <w:rFonts w:hint="default" w:ascii="Roboto" w:hAnsi="Roboto" w:eastAsia="Roboto"/>
          <w:color w:val="000000"/>
          <w:sz w:val="20"/>
          <w:szCs w:val="20"/>
          <w:rtl w:val="0"/>
          <w:lang w:val="es-ES"/>
        </w:rPr>
        <w:t xml:space="preserve">2024;  </w:t>
      </w:r>
      <w:r>
        <w:rPr>
          <w:rFonts w:hint="default" w:ascii="Roboto" w:hAnsi="Roboto" w:eastAsia="Roboto"/>
          <w:color w:val="000000"/>
          <w:sz w:val="20"/>
          <w:szCs w:val="20"/>
          <w:rtl w:val="0"/>
        </w:rPr>
        <w:t xml:space="preserve">Cornejo </w:t>
      </w:r>
      <w:r>
        <w:rPr>
          <w:rFonts w:hint="default" w:ascii="Roboto Italic" w:hAnsi="Roboto Italic" w:eastAsia="Roboto" w:cs="Roboto Italic"/>
          <w:i/>
          <w:iCs/>
          <w:color w:val="000000"/>
          <w:sz w:val="20"/>
          <w:szCs w:val="20"/>
          <w:rtl w:val="0"/>
        </w:rPr>
        <w:t>et al</w:t>
      </w:r>
      <w:r>
        <w:rPr>
          <w:rFonts w:hint="default" w:ascii="Roboto" w:hAnsi="Roboto" w:eastAsia="Roboto"/>
          <w:color w:val="000000"/>
          <w:sz w:val="20"/>
          <w:szCs w:val="20"/>
          <w:rtl w:val="0"/>
        </w:rPr>
        <w:t>.</w:t>
      </w:r>
      <w:r>
        <w:rPr>
          <w:rFonts w:hint="default" w:ascii="Roboto" w:hAnsi="Roboto" w:eastAsia="Roboto"/>
          <w:color w:val="000000"/>
          <w:sz w:val="20"/>
          <w:szCs w:val="20"/>
          <w:rtl w:val="0"/>
          <w:lang w:val="es-ES"/>
        </w:rPr>
        <w:t xml:space="preserve">, </w:t>
      </w:r>
      <w:r>
        <w:rPr>
          <w:rFonts w:hint="default" w:ascii="Roboto" w:hAnsi="Roboto" w:eastAsia="Roboto"/>
          <w:color w:val="000000"/>
          <w:sz w:val="20"/>
          <w:szCs w:val="20"/>
          <w:rtl w:val="0"/>
        </w:rPr>
        <w:t>2023</w:t>
      </w:r>
      <w:r>
        <w:rPr>
          <w:rFonts w:hint="default" w:ascii="Roboto" w:hAnsi="Roboto" w:eastAsia="Roboto"/>
          <w:color w:val="000000"/>
          <w:sz w:val="20"/>
          <w:szCs w:val="20"/>
          <w:rtl w:val="0"/>
          <w:lang w:val="es-ES"/>
        </w:rPr>
        <w:t xml:space="preserve">; Schmidt </w:t>
      </w:r>
      <w:r>
        <w:rPr>
          <w:rFonts w:hint="default" w:ascii="Roboto Italic" w:hAnsi="Roboto Italic" w:eastAsia="Roboto" w:cs="Roboto Italic"/>
          <w:i/>
          <w:iCs/>
          <w:color w:val="000000"/>
          <w:sz w:val="20"/>
          <w:szCs w:val="20"/>
          <w:rtl w:val="0"/>
          <w:lang w:val="es-ES"/>
        </w:rPr>
        <w:t>et al</w:t>
      </w:r>
      <w:r>
        <w:rPr>
          <w:rFonts w:hint="default" w:ascii="Roboto" w:hAnsi="Roboto" w:eastAsia="Roboto"/>
          <w:color w:val="000000"/>
          <w:sz w:val="20"/>
          <w:szCs w:val="20"/>
          <w:rtl w:val="0"/>
          <w:lang w:val="es-ES"/>
        </w:rPr>
        <w:t xml:space="preserve">., 2023; </w:t>
      </w:r>
      <w:r>
        <w:rPr>
          <w:rFonts w:hint="default" w:ascii="Roboto" w:hAnsi="Roboto" w:eastAsia="Roboto"/>
          <w:color w:val="000000"/>
          <w:sz w:val="20"/>
          <w:szCs w:val="20"/>
          <w:rtl w:val="0"/>
        </w:rPr>
        <w:t>Rivera-García et al</w:t>
      </w:r>
      <w:r>
        <w:rPr>
          <w:rFonts w:hint="default" w:ascii="Roboto" w:hAnsi="Roboto" w:eastAsia="Roboto"/>
          <w:color w:val="000000"/>
          <w:sz w:val="20"/>
          <w:szCs w:val="20"/>
          <w:rtl w:val="0"/>
          <w:lang w:val="es-ES"/>
        </w:rPr>
        <w:t xml:space="preserve">., </w:t>
      </w:r>
      <w:r>
        <w:rPr>
          <w:rFonts w:hint="default" w:ascii="Roboto" w:hAnsi="Roboto" w:eastAsia="Roboto"/>
          <w:color w:val="000000"/>
          <w:sz w:val="20"/>
          <w:szCs w:val="20"/>
          <w:rtl w:val="0"/>
        </w:rPr>
        <w:t xml:space="preserve">2021). Por su parte, la </w:t>
      </w:r>
      <w:r>
        <w:rPr>
          <w:rFonts w:hint="default" w:ascii="Roboto" w:hAnsi="Roboto" w:eastAsia="Roboto"/>
          <w:color w:val="000000"/>
          <w:sz w:val="20"/>
          <w:szCs w:val="20"/>
          <w:rtl w:val="0"/>
          <w:lang w:val="es-ES"/>
        </w:rPr>
        <w:t xml:space="preserve">b) </w:t>
      </w:r>
      <w:r>
        <w:rPr>
          <w:rFonts w:hint="default" w:ascii="Roboto" w:hAnsi="Roboto" w:eastAsia="Roboto"/>
          <w:color w:val="000000"/>
          <w:sz w:val="20"/>
          <w:szCs w:val="20"/>
          <w:rtl w:val="0"/>
        </w:rPr>
        <w:t xml:space="preserve">política de evaluación y rendición de cuentas institucional sobre el papel del CENEVAL tiene diversas aristas </w:t>
      </w:r>
      <w:r>
        <w:rPr>
          <w:rFonts w:hint="default" w:ascii="Roboto" w:hAnsi="Roboto" w:eastAsia="Roboto"/>
          <w:color w:val="000000"/>
          <w:sz w:val="20"/>
          <w:szCs w:val="20"/>
          <w:rtl w:val="0"/>
          <w:lang w:val="es-ES"/>
        </w:rPr>
        <w:t>investigativas que cuestionan la finalidad de la prueba EGEL y sus mecanismos subyacentes de poder político y económico (</w:t>
      </w:r>
      <w:r>
        <w:rPr>
          <w:rFonts w:hint="default" w:ascii="Roboto" w:hAnsi="Roboto" w:eastAsia="Roboto"/>
          <w:color w:val="000000"/>
          <w:sz w:val="20"/>
          <w:szCs w:val="20"/>
          <w:rtl w:val="0"/>
        </w:rPr>
        <w:t>Castelao-Huerta, 2024</w:t>
      </w:r>
      <w:r>
        <w:rPr>
          <w:rFonts w:hint="default" w:ascii="Roboto" w:hAnsi="Roboto" w:eastAsia="Roboto"/>
          <w:color w:val="000000"/>
          <w:sz w:val="20"/>
          <w:szCs w:val="20"/>
          <w:rtl w:val="0"/>
          <w:lang w:val="es-ES"/>
        </w:rPr>
        <w:t xml:space="preserve">). </w:t>
      </w:r>
      <w:r>
        <w:rPr>
          <w:rFonts w:hint="default" w:ascii="Roboto" w:hAnsi="Roboto" w:eastAsia="Roboto"/>
          <w:color w:val="000000"/>
          <w:sz w:val="20"/>
          <w:szCs w:val="20"/>
          <w:rtl w:val="0"/>
        </w:rPr>
        <w:t xml:space="preserve">Adicionalmente, </w:t>
      </w:r>
      <w:r>
        <w:rPr>
          <w:rFonts w:hint="default" w:ascii="Roboto" w:hAnsi="Roboto" w:eastAsia="Roboto"/>
          <w:color w:val="000000"/>
          <w:sz w:val="20"/>
          <w:szCs w:val="20"/>
          <w:rtl w:val="0"/>
          <w:lang w:val="es-ES"/>
        </w:rPr>
        <w:t xml:space="preserve">se ha abordado </w:t>
      </w:r>
      <w:r>
        <w:rPr>
          <w:rFonts w:hint="default" w:ascii="Roboto" w:hAnsi="Roboto" w:eastAsia="Roboto"/>
          <w:color w:val="000000"/>
          <w:sz w:val="20"/>
          <w:szCs w:val="20"/>
          <w:rtl w:val="0"/>
        </w:rPr>
        <w:t xml:space="preserve">la </w:t>
      </w:r>
      <w:r>
        <w:rPr>
          <w:rFonts w:hint="default" w:ascii="Roboto" w:hAnsi="Roboto" w:eastAsia="Roboto"/>
          <w:color w:val="000000"/>
          <w:sz w:val="20"/>
          <w:szCs w:val="20"/>
          <w:rtl w:val="0"/>
          <w:lang w:val="es-ES"/>
        </w:rPr>
        <w:t xml:space="preserve">c) </w:t>
      </w:r>
      <w:r>
        <w:rPr>
          <w:rFonts w:hint="default" w:ascii="Roboto" w:hAnsi="Roboto" w:eastAsia="Roboto"/>
          <w:color w:val="000000"/>
          <w:sz w:val="20"/>
          <w:szCs w:val="20"/>
          <w:rtl w:val="0"/>
        </w:rPr>
        <w:t xml:space="preserve">alineación entre los planes de estudio y las competencias que evalúa el EGEL (Castelán-Urquiza </w:t>
      </w:r>
      <w:r>
        <w:rPr>
          <w:rFonts w:hint="default" w:ascii="Roboto" w:hAnsi="Roboto" w:eastAsia="Roboto"/>
          <w:color w:val="000000"/>
          <w:sz w:val="20"/>
          <w:szCs w:val="20"/>
          <w:rtl w:val="0"/>
          <w:lang w:val="es-ES"/>
        </w:rPr>
        <w:t>y</w:t>
      </w:r>
      <w:bookmarkStart w:id="0" w:name="_GoBack"/>
      <w:bookmarkEnd w:id="0"/>
      <w:r>
        <w:rPr>
          <w:rFonts w:hint="default" w:ascii="Roboto" w:hAnsi="Roboto" w:eastAsia="Roboto"/>
          <w:color w:val="000000"/>
          <w:sz w:val="20"/>
          <w:szCs w:val="20"/>
          <w:rtl w:val="0"/>
        </w:rPr>
        <w:t xml:space="preserve"> González-Vázquez, 2024)</w:t>
      </w:r>
      <w:r>
        <w:rPr>
          <w:rFonts w:hint="default" w:ascii="Roboto" w:hAnsi="Roboto" w:eastAsia="Roboto"/>
          <w:color w:val="000000"/>
          <w:sz w:val="20"/>
          <w:szCs w:val="20"/>
          <w:rtl w:val="0"/>
          <w:lang w:val="es-ES"/>
        </w:rPr>
        <w:t xml:space="preserve">. La d) </w:t>
      </w:r>
      <w:r>
        <w:rPr>
          <w:rFonts w:hint="default" w:ascii="Roboto" w:hAnsi="Roboto" w:eastAsia="Roboto"/>
          <w:color w:val="000000"/>
          <w:sz w:val="20"/>
          <w:szCs w:val="20"/>
          <w:rtl w:val="0"/>
        </w:rPr>
        <w:t>gestión educativa y estrategias de enseñanza ha encontrado que la actualización de contenidos por parte de los docentes es fundamental para el éxito del examen</w:t>
      </w:r>
      <w:r>
        <w:rPr>
          <w:rFonts w:hint="default" w:ascii="Roboto" w:hAnsi="Roboto" w:eastAsia="Roboto"/>
          <w:color w:val="000000"/>
          <w:sz w:val="20"/>
          <w:szCs w:val="20"/>
          <w:rtl w:val="0"/>
          <w:lang w:val="es-ES"/>
        </w:rPr>
        <w:t xml:space="preserve">. </w:t>
      </w:r>
      <w:r>
        <w:rPr>
          <w:rFonts w:hint="default" w:ascii="Roboto" w:hAnsi="Roboto" w:eastAsia="Roboto"/>
          <w:color w:val="000000"/>
          <w:sz w:val="20"/>
          <w:szCs w:val="20"/>
          <w:rtl w:val="0"/>
        </w:rPr>
        <w:t xml:space="preserve">Finalmente, los </w:t>
      </w:r>
      <w:r>
        <w:rPr>
          <w:rFonts w:hint="default" w:ascii="Roboto" w:hAnsi="Roboto" w:eastAsia="Roboto"/>
          <w:color w:val="000000"/>
          <w:sz w:val="20"/>
          <w:szCs w:val="20"/>
          <w:rtl w:val="0"/>
          <w:lang w:val="es-ES"/>
        </w:rPr>
        <w:t xml:space="preserve">e) </w:t>
      </w:r>
      <w:r>
        <w:rPr>
          <w:rFonts w:hint="default" w:ascii="Roboto" w:hAnsi="Roboto" w:eastAsia="Roboto"/>
          <w:color w:val="000000"/>
          <w:sz w:val="20"/>
          <w:szCs w:val="20"/>
          <w:rtl w:val="0"/>
        </w:rPr>
        <w:t>factores psicosociales y afectivos se ubican como otra dimensión relevante de estudio</w:t>
      </w:r>
      <w:r>
        <w:rPr>
          <w:rFonts w:hint="default" w:ascii="Roboto" w:hAnsi="Roboto" w:eastAsia="Roboto"/>
          <w:color w:val="000000"/>
          <w:sz w:val="20"/>
          <w:szCs w:val="20"/>
          <w:rtl w:val="0"/>
          <w:lang w:val="es-ES"/>
        </w:rPr>
        <w:t xml:space="preserve"> (</w:t>
      </w:r>
      <w:r>
        <w:rPr>
          <w:rFonts w:hint="default" w:ascii="Roboto" w:hAnsi="Roboto" w:eastAsia="Roboto"/>
          <w:color w:val="000000"/>
          <w:sz w:val="20"/>
          <w:szCs w:val="20"/>
          <w:rtl w:val="0"/>
        </w:rPr>
        <w:t>Ortega-Ortega et al., 2023</w:t>
      </w:r>
      <w:r>
        <w:rPr>
          <w:rFonts w:hint="default" w:ascii="Roboto" w:hAnsi="Roboto" w:eastAsia="Roboto"/>
          <w:color w:val="000000"/>
          <w:sz w:val="20"/>
          <w:szCs w:val="20"/>
          <w:rtl w:val="0"/>
          <w:lang w:val="es-ES"/>
        </w:rPr>
        <w:t>).</w:t>
      </w:r>
    </w:p>
    <w:p w14:paraId="04EFC273">
      <w:pPr>
        <w:pBdr>
          <w:top w:val="none" w:color="auto" w:sz="0" w:space="0"/>
          <w:left w:val="none" w:color="auto" w:sz="0" w:space="0"/>
          <w:bottom w:val="none" w:color="auto" w:sz="0" w:space="0"/>
          <w:right w:val="none" w:color="auto" w:sz="0" w:space="0"/>
          <w:between w:val="none" w:color="auto" w:sz="0" w:space="0"/>
        </w:pBdr>
        <w:jc w:val="both"/>
        <w:rPr>
          <w:rFonts w:hint="default" w:ascii="Roboto" w:hAnsi="Roboto" w:eastAsia="Roboto"/>
          <w:color w:val="000000"/>
          <w:sz w:val="20"/>
          <w:szCs w:val="20"/>
          <w:rtl w:val="0"/>
          <w:lang w:val="es-ES"/>
        </w:rPr>
      </w:pPr>
    </w:p>
    <w:p w14:paraId="5AF97C2F">
      <w:pPr>
        <w:pBdr>
          <w:top w:val="none" w:color="auto" w:sz="0" w:space="0"/>
          <w:left w:val="none" w:color="auto" w:sz="0" w:space="0"/>
          <w:bottom w:val="none" w:color="auto" w:sz="0" w:space="0"/>
          <w:right w:val="none" w:color="auto" w:sz="0" w:space="0"/>
          <w:between w:val="none" w:color="auto" w:sz="0" w:space="0"/>
        </w:pBdr>
        <w:jc w:val="both"/>
        <w:rPr>
          <w:rFonts w:hint="default" w:ascii="Roboto" w:hAnsi="Roboto" w:eastAsia="Roboto" w:cs="Roboto"/>
          <w:b/>
          <w:color w:val="000000"/>
          <w:sz w:val="20"/>
          <w:szCs w:val="20"/>
          <w:rtl w:val="0"/>
          <w:lang w:val="es-ES"/>
        </w:rPr>
      </w:pPr>
      <w:r>
        <w:rPr>
          <w:rFonts w:hint="default" w:ascii="Roboto" w:hAnsi="Roboto" w:eastAsia="Roboto" w:cs="Roboto"/>
          <w:b/>
          <w:color w:val="000000"/>
          <w:sz w:val="20"/>
          <w:szCs w:val="20"/>
          <w:rtl w:val="0"/>
          <w:lang w:val="es-ES"/>
        </w:rPr>
        <w:t>MÉTODO</w:t>
      </w:r>
    </w:p>
    <w:p w14:paraId="26499440">
      <w:pPr>
        <w:pBdr>
          <w:top w:val="none" w:color="auto" w:sz="0" w:space="0"/>
          <w:left w:val="none" w:color="auto" w:sz="0" w:space="0"/>
          <w:bottom w:val="none" w:color="auto" w:sz="0" w:space="0"/>
          <w:right w:val="none" w:color="auto" w:sz="0" w:space="0"/>
          <w:between w:val="none" w:color="auto" w:sz="0" w:space="0"/>
        </w:pBdr>
        <w:jc w:val="both"/>
        <w:rPr>
          <w:rFonts w:hint="default" w:ascii="Roboto" w:hAnsi="Roboto" w:eastAsia="Roboto" w:cs="Roboto"/>
          <w:color w:val="000000"/>
          <w:sz w:val="20"/>
          <w:szCs w:val="20"/>
          <w:rtl w:val="0"/>
          <w:lang w:val="es-ES"/>
        </w:rPr>
      </w:pPr>
      <w:r>
        <w:rPr>
          <w:rFonts w:hint="default" w:ascii="Roboto" w:hAnsi="Roboto" w:eastAsia="Roboto" w:cs="Roboto"/>
          <w:color w:val="000000"/>
          <w:sz w:val="20"/>
          <w:szCs w:val="20"/>
          <w:rtl w:val="0"/>
          <w:lang w:val="es-ES"/>
        </w:rPr>
        <w:t xml:space="preserve">Diseño cuantitativo con enfoque exploratorio. El diseño fue no experimental. La temporalidad fue seccional. Sondeo digital de Survey Monkey enviado por correo electrónico a distintos alumnos de grupos de licenciatura que ha impartido el autor, además  de promoción en redes sociales. El periodo de recolección fue de mayo a diciembre de 2025 en tres momentos específicos: principios de mayo, principios de junio, principios de diciembre, tras la aplicación del EGEL Plus. El instrumento constó de 25 preguntas cerradas y una abierta, incluyendo los reactivos demográficos. Se aplicó una pregunta filtro al principio del mismo para asegurar la validez de la muestra (haber resuelto el EGEL Plus después de diciembre de 2021, pues antes de esa fecha se aplicaba el EGEL tradicional). Antes de iniciar el ejercicio los participantes dieron su consentimiento informado de que los resultados serían usados para fines académicos. Índice de compleción del 67%, es decir, 165 cuestionarios iniciados y 112 terminados. Después del periodo de recolección se descargó la sábana de resultados en formato CSV, la cual fue limpiada y anonimizada. Posteriormente, los datos fueron analizados con el programa JASP versión 0.95.3 para obtener resultados estadísticos básicos. </w:t>
      </w:r>
    </w:p>
    <w:p w14:paraId="00000010">
      <w:pPr>
        <w:pBdr>
          <w:top w:val="none" w:color="auto" w:sz="0" w:space="0"/>
          <w:left w:val="none" w:color="auto" w:sz="0" w:space="0"/>
          <w:bottom w:val="none" w:color="auto" w:sz="0" w:space="0"/>
          <w:right w:val="none" w:color="auto" w:sz="0" w:space="0"/>
          <w:between w:val="none" w:color="auto" w:sz="0" w:space="0"/>
        </w:pBdr>
        <w:jc w:val="both"/>
        <w:rPr>
          <w:rFonts w:ascii="Roboto" w:hAnsi="Roboto" w:eastAsia="Roboto" w:cs="Roboto"/>
          <w:color w:val="000000"/>
          <w:sz w:val="20"/>
          <w:szCs w:val="20"/>
        </w:rPr>
      </w:pPr>
    </w:p>
    <w:p w14:paraId="322651FE">
      <w:pPr>
        <w:pBdr>
          <w:top w:val="none" w:color="auto" w:sz="0" w:space="0"/>
          <w:left w:val="none" w:color="auto" w:sz="0" w:space="0"/>
          <w:bottom w:val="none" w:color="auto" w:sz="0" w:space="0"/>
          <w:right w:val="none" w:color="auto" w:sz="0" w:space="0"/>
          <w:between w:val="none" w:color="auto" w:sz="0" w:space="0"/>
        </w:pBdr>
        <w:jc w:val="both"/>
        <w:rPr>
          <w:rFonts w:hint="default" w:ascii="Roboto" w:hAnsi="Roboto" w:eastAsia="Roboto" w:cs="Roboto"/>
          <w:b/>
          <w:color w:val="000000"/>
          <w:sz w:val="20"/>
          <w:szCs w:val="20"/>
          <w:rtl w:val="0"/>
          <w:lang w:val="es-ES"/>
        </w:rPr>
      </w:pPr>
      <w:r>
        <w:rPr>
          <w:rFonts w:hint="default" w:ascii="Roboto" w:hAnsi="Roboto" w:eastAsia="Roboto" w:cs="Roboto"/>
          <w:b/>
          <w:color w:val="000000"/>
          <w:sz w:val="20"/>
          <w:szCs w:val="20"/>
          <w:rtl w:val="0"/>
          <w:lang w:val="es-ES"/>
        </w:rPr>
        <w:t>RESULTADOS</w:t>
      </w:r>
    </w:p>
    <w:p w14:paraId="4ECF7F6A">
      <w:pPr>
        <w:pBdr>
          <w:top w:val="none" w:color="auto" w:sz="0" w:space="0"/>
          <w:left w:val="none" w:color="auto" w:sz="0" w:space="0"/>
          <w:bottom w:val="none" w:color="auto" w:sz="0" w:space="0"/>
          <w:right w:val="none" w:color="auto" w:sz="0" w:space="0"/>
          <w:between w:val="none" w:color="auto" w:sz="0" w:space="0"/>
        </w:pBdr>
        <w:jc w:val="both"/>
        <w:rPr>
          <w:rFonts w:hint="default" w:ascii="Roboto" w:hAnsi="Roboto" w:eastAsia="Roboto" w:cs="Roboto"/>
          <w:color w:val="000000"/>
          <w:sz w:val="20"/>
          <w:szCs w:val="20"/>
          <w:rtl w:val="0"/>
          <w:lang w:val="es-ES"/>
        </w:rPr>
      </w:pPr>
      <w:r>
        <w:rPr>
          <w:rFonts w:hint="default" w:ascii="Roboto" w:hAnsi="Roboto" w:eastAsia="Roboto" w:cs="Roboto"/>
          <w:b w:val="0"/>
          <w:bCs/>
          <w:color w:val="000000"/>
          <w:sz w:val="20"/>
          <w:szCs w:val="20"/>
          <w:rtl w:val="0"/>
          <w:lang w:val="es-ES"/>
        </w:rPr>
        <w:t>Perfil de la muestra. El promedio de edad de los 112 participantes fue de 24 años (mín. 21, máx. 36, D.E. 2.31). La muestra resultó principalmente femenina (62.5% contra 38.5% masculina). Un 27% dijo estudiar, 37% trabajar, 32% estudiar y trabajar, y el restante 4% ninguna de éstas. El 52% de la muestra dijo habitar la CDMX y otro 33% el EdoMex. El restante 15% se dividió en otros 12 estados. En promedio, dijeron pasar 7.7 horas en internet, de las cuales 4.4 se dedican a redes sociales. La enorme mayoría (92%) dijo asistir a alguna universidad privada. En total, se mencionaron 16 institutos de educación superior diferentes en las 112 respuestas. El 80% dijo haber hecho el EGEL Plus para la Licenciatura de Comunicación.</w:t>
      </w:r>
    </w:p>
    <w:p w14:paraId="7A46B5EA">
      <w:pPr>
        <w:pBdr>
          <w:top w:val="none" w:color="auto" w:sz="0" w:space="0"/>
          <w:left w:val="none" w:color="auto" w:sz="0" w:space="0"/>
          <w:bottom w:val="none" w:color="auto" w:sz="0" w:space="0"/>
          <w:right w:val="none" w:color="auto" w:sz="0" w:space="0"/>
          <w:between w:val="none" w:color="auto" w:sz="0" w:space="0"/>
        </w:pBdr>
        <w:jc w:val="both"/>
        <w:rPr>
          <w:rFonts w:hint="default" w:ascii="Roboto" w:hAnsi="Roboto" w:eastAsia="Roboto" w:cs="Roboto"/>
          <w:b w:val="0"/>
          <w:bCs/>
          <w:color w:val="000000"/>
          <w:sz w:val="20"/>
          <w:szCs w:val="20"/>
          <w:rtl w:val="0"/>
          <w:lang w:val="es-ES"/>
        </w:rPr>
      </w:pPr>
      <w:r>
        <w:rPr>
          <w:rFonts w:hint="default" w:ascii="Roboto" w:hAnsi="Roboto" w:eastAsia="Roboto" w:cs="Roboto"/>
          <w:b w:val="0"/>
          <w:bCs/>
          <w:color w:val="000000"/>
          <w:sz w:val="20"/>
          <w:szCs w:val="20"/>
          <w:rtl w:val="0"/>
          <w:lang w:val="es-ES"/>
        </w:rPr>
        <w:t>En cuanto a los resultados más relevantes del ejercicio, de entrada, se encontró que las</w:t>
      </w:r>
      <w:r>
        <w:rPr>
          <w:rFonts w:hint="default" w:ascii="Roboto" w:hAnsi="Roboto" w:eastAsia="Roboto"/>
          <w:b w:val="0"/>
          <w:bCs/>
          <w:color w:val="000000"/>
          <w:sz w:val="20"/>
          <w:szCs w:val="20"/>
          <w:rtl w:val="0"/>
          <w:lang w:val="es-ES"/>
        </w:rPr>
        <w:t xml:space="preserve"> herramientas de IA son usadas, cuando menos, una o varias veces al día por 65% de los participantes para tareas escolares (solo 14% dijo nunca usarlas). Además, </w:t>
      </w:r>
      <w:r>
        <w:rPr>
          <w:rFonts w:hint="default" w:ascii="Roboto" w:hAnsi="Roboto" w:eastAsia="Roboto" w:cs="Roboto"/>
          <w:b w:val="0"/>
          <w:bCs/>
          <w:color w:val="000000"/>
          <w:sz w:val="20"/>
          <w:szCs w:val="20"/>
          <w:rtl w:val="0"/>
          <w:lang w:val="es-ES"/>
        </w:rPr>
        <w:t>42% considera que el EGEL Plus es inútil o totalmente inútil para su desempeño profesional, contra 26% que lo ve como útil o muy útil. El restante 32% mantuvo una posición neutra. Aunado a esto, el 60% considera que el formato basado en texto está desfasado. La opinión se encuentra divida en cuanto a la relevancia de la prueba para medir el grado de aprendizaje de la Licenciatura en un entorno que incluye a la IA. Como se observa en la Tabla 1, un grupo considerable (36.6%) considera que ha dejado de ser relevante para este fin.</w:t>
      </w:r>
    </w:p>
    <w:p w14:paraId="00000014">
      <w:pPr>
        <w:keepNext/>
        <w:jc w:val="both"/>
        <w:rPr>
          <w:rFonts w:ascii="Roboto" w:hAnsi="Roboto" w:eastAsia="Roboto" w:cs="Roboto"/>
          <w:b/>
          <w:sz w:val="20"/>
          <w:szCs w:val="20"/>
        </w:rPr>
      </w:pPr>
    </w:p>
    <w:p w14:paraId="00000015">
      <w:pPr>
        <w:keepNext/>
        <w:jc w:val="both"/>
        <w:rPr>
          <w:rFonts w:hint="default" w:ascii="Roboto" w:hAnsi="Roboto" w:eastAsia="Roboto" w:cs="Roboto"/>
          <w:sz w:val="20"/>
          <w:szCs w:val="20"/>
          <w:lang w:val="es-ES"/>
        </w:rPr>
      </w:pPr>
      <w:r>
        <w:rPr>
          <w:rFonts w:ascii="Roboto" w:hAnsi="Roboto" w:eastAsia="Roboto" w:cs="Roboto"/>
          <w:b/>
          <w:sz w:val="20"/>
          <w:szCs w:val="20"/>
          <w:rtl w:val="0"/>
        </w:rPr>
        <w:t>Tabla 1.</w:t>
      </w:r>
      <w:r>
        <w:rPr>
          <w:rFonts w:ascii="Roboto" w:hAnsi="Roboto" w:eastAsia="Roboto" w:cs="Roboto"/>
          <w:sz w:val="20"/>
          <w:szCs w:val="20"/>
          <w:rtl w:val="0"/>
        </w:rPr>
        <w:t xml:space="preserve"> </w:t>
      </w:r>
      <w:r>
        <w:rPr>
          <w:rFonts w:hint="default" w:ascii="Roboto" w:hAnsi="Roboto" w:eastAsia="Roboto" w:cs="Roboto"/>
          <w:sz w:val="20"/>
          <w:szCs w:val="20"/>
          <w:rtl w:val="0"/>
          <w:lang w:val="es-ES"/>
        </w:rPr>
        <w:t>“</w:t>
      </w:r>
      <w:r>
        <w:rPr>
          <w:rFonts w:hint="default" w:ascii="Roboto" w:hAnsi="Roboto" w:eastAsia="Roboto"/>
          <w:sz w:val="20"/>
          <w:szCs w:val="20"/>
          <w:rtl w:val="0"/>
        </w:rPr>
        <w:t>En la era de la I</w:t>
      </w:r>
      <w:r>
        <w:rPr>
          <w:rFonts w:hint="default" w:ascii="Roboto" w:hAnsi="Roboto" w:eastAsia="Roboto"/>
          <w:sz w:val="20"/>
          <w:szCs w:val="20"/>
          <w:rtl w:val="0"/>
          <w:lang w:val="es-ES"/>
        </w:rPr>
        <w:t>A</w:t>
      </w:r>
      <w:r>
        <w:rPr>
          <w:rFonts w:hint="default" w:ascii="Roboto" w:hAnsi="Roboto" w:eastAsia="Roboto"/>
          <w:sz w:val="20"/>
          <w:szCs w:val="20"/>
          <w:rtl w:val="0"/>
        </w:rPr>
        <w:t xml:space="preserve">, la prueba EGEL Plus basada en texto sigue siendo relevante para medir el conocimiento sobre los aspectos más </w:t>
      </w:r>
      <w:r>
        <w:rPr>
          <w:rFonts w:hint="default" w:ascii="Roboto" w:hAnsi="Roboto" w:eastAsia="Roboto"/>
          <w:sz w:val="20"/>
          <w:szCs w:val="20"/>
          <w:rtl w:val="0"/>
          <w:lang w:val="es-ES"/>
        </w:rPr>
        <w:t xml:space="preserve">importantes </w:t>
      </w:r>
      <w:r>
        <w:rPr>
          <w:rFonts w:hint="default" w:ascii="Roboto" w:hAnsi="Roboto" w:eastAsia="Roboto"/>
          <w:sz w:val="20"/>
          <w:szCs w:val="20"/>
          <w:rtl w:val="0"/>
        </w:rPr>
        <w:t>de mi disciplina aprendidos durante mi formación universitaria</w:t>
      </w:r>
      <w:r>
        <w:rPr>
          <w:rFonts w:hint="default" w:ascii="Roboto" w:hAnsi="Roboto" w:eastAsia="Roboto"/>
          <w:sz w:val="20"/>
          <w:szCs w:val="20"/>
          <w:rtl w:val="0"/>
          <w:lang w:val="es-ES"/>
        </w:rPr>
        <w:t>”.</w:t>
      </w:r>
    </w:p>
    <w:tbl>
      <w:tblPr>
        <w:tblStyle w:val="25"/>
        <w:tblW w:w="4801" w:type="dxa"/>
        <w:jc w:val="center"/>
        <w:tblBorders>
          <w:top w:val="single" w:color="000000" w:sz="4" w:space="0"/>
          <w:left w:val="none" w:color="auto" w:sz="0" w:space="0"/>
          <w:bottom w:val="single" w:color="000000" w:sz="4" w:space="0"/>
          <w:right w:val="none" w:color="auto" w:sz="0" w:space="0"/>
          <w:insideH w:val="none" w:color="auto" w:sz="0" w:space="0"/>
          <w:insideV w:val="none" w:color="auto" w:sz="0" w:space="0"/>
        </w:tblBorders>
        <w:tblLayout w:type="fixed"/>
        <w:tblCellMar>
          <w:top w:w="0" w:type="dxa"/>
          <w:left w:w="115" w:type="dxa"/>
          <w:bottom w:w="0" w:type="dxa"/>
          <w:right w:w="115" w:type="dxa"/>
        </w:tblCellMar>
      </w:tblPr>
      <w:tblGrid>
        <w:gridCol w:w="2133"/>
        <w:gridCol w:w="2668"/>
      </w:tblGrid>
      <w:tr w14:paraId="6688AEE4">
        <w:trPr>
          <w:jc w:val="center"/>
        </w:trPr>
        <w:tc>
          <w:tcPr>
            <w:tcW w:w="2133" w:type="dxa"/>
            <w:tcBorders>
              <w:top w:val="single" w:color="000000" w:sz="4" w:space="0"/>
              <w:bottom w:val="single" w:color="000000" w:sz="4" w:space="0"/>
            </w:tcBorders>
          </w:tcPr>
          <w:p w14:paraId="52469B1F">
            <w:pPr>
              <w:ind w:left="462" w:firstLine="0"/>
              <w:jc w:val="center"/>
              <w:rPr>
                <w:rFonts w:hint="default" w:ascii="Roboto Regular" w:hAnsi="Roboto Regular" w:eastAsia="Roboto" w:cs="Roboto Regular"/>
                <w:b/>
                <w:sz w:val="20"/>
                <w:szCs w:val="20"/>
                <w:rtl w:val="0"/>
                <w:lang w:val="es-ES"/>
              </w:rPr>
            </w:pPr>
          </w:p>
        </w:tc>
        <w:tc>
          <w:tcPr>
            <w:tcW w:w="2668" w:type="dxa"/>
            <w:tcBorders>
              <w:top w:val="single" w:color="000000" w:sz="4" w:space="0"/>
              <w:bottom w:val="single" w:color="000000" w:sz="4" w:space="0"/>
            </w:tcBorders>
          </w:tcPr>
          <w:p w14:paraId="46B1D596">
            <w:pPr>
              <w:jc w:val="center"/>
              <w:rPr>
                <w:rFonts w:hint="default" w:ascii="Roboto Regular" w:hAnsi="Roboto Regular" w:eastAsia="Roboto" w:cs="Roboto Regular"/>
                <w:b/>
                <w:sz w:val="20"/>
                <w:szCs w:val="20"/>
                <w:rtl w:val="0"/>
                <w:lang w:val="es-ES"/>
              </w:rPr>
            </w:pPr>
            <w:r>
              <w:rPr>
                <w:rFonts w:hint="default" w:ascii="Roboto Regular" w:hAnsi="Roboto Regular" w:eastAsia="Roboto" w:cs="Roboto Regular"/>
                <w:b/>
                <w:sz w:val="20"/>
                <w:szCs w:val="20"/>
                <w:rtl w:val="0"/>
                <w:lang w:val="es-ES"/>
              </w:rPr>
              <w:t>Porcentaje de respuestas (n = 112)</w:t>
            </w:r>
          </w:p>
        </w:tc>
      </w:tr>
      <w:tr w14:paraId="03A2C2C1">
        <w:trPr>
          <w:jc w:val="center"/>
        </w:trPr>
        <w:tc>
          <w:tcPr>
            <w:tcW w:w="2133" w:type="dxa"/>
            <w:tcBorders>
              <w:top w:val="single" w:color="000000" w:sz="4" w:space="0"/>
            </w:tcBorders>
          </w:tcPr>
          <w:p w14:paraId="5A0A8501">
            <w:pPr>
              <w:jc w:val="left"/>
              <w:rPr>
                <w:rFonts w:hint="default" w:ascii="Roboto Regular" w:hAnsi="Roboto Regular" w:eastAsia="Roboto" w:cs="Roboto Regular"/>
                <w:sz w:val="20"/>
                <w:szCs w:val="20"/>
                <w:rtl w:val="0"/>
                <w:lang w:val="es-ES"/>
              </w:rPr>
            </w:pPr>
            <w:r>
              <w:rPr>
                <w:rFonts w:hint="default" w:ascii="Roboto Regular" w:hAnsi="Roboto Regular" w:cs="Roboto Regular"/>
                <w:sz w:val="20"/>
                <w:szCs w:val="20"/>
              </w:rPr>
              <w:t>Completamente en desacuerdo</w:t>
            </w:r>
          </w:p>
        </w:tc>
        <w:tc>
          <w:tcPr>
            <w:tcW w:w="2668" w:type="dxa"/>
            <w:tcBorders>
              <w:top w:val="single" w:color="000000" w:sz="4" w:space="0"/>
            </w:tcBorders>
          </w:tcPr>
          <w:p w14:paraId="00000018">
            <w:pPr>
              <w:ind w:left="462" w:firstLine="0"/>
              <w:jc w:val="center"/>
              <w:rPr>
                <w:rFonts w:hint="default" w:ascii="Roboto Regular" w:hAnsi="Roboto Regular" w:eastAsia="Roboto" w:cs="Roboto Regular"/>
                <w:sz w:val="20"/>
                <w:szCs w:val="20"/>
                <w:lang w:val="es-ES"/>
              </w:rPr>
            </w:pPr>
            <w:r>
              <w:rPr>
                <w:rFonts w:hint="default" w:ascii="Roboto Regular" w:hAnsi="Roboto Regular" w:eastAsia="Roboto" w:cs="Roboto Regular"/>
                <w:sz w:val="20"/>
                <w:szCs w:val="20"/>
                <w:rtl w:val="0"/>
                <w:lang w:val="es-ES"/>
              </w:rPr>
              <w:t>12.5% (14)</w:t>
            </w:r>
          </w:p>
        </w:tc>
      </w:tr>
      <w:tr w14:paraId="42847E98">
        <w:trPr>
          <w:jc w:val="center"/>
        </w:trPr>
        <w:tc>
          <w:tcPr>
            <w:tcW w:w="2133" w:type="dxa"/>
          </w:tcPr>
          <w:p w14:paraId="65799DBB">
            <w:pPr>
              <w:jc w:val="left"/>
              <w:rPr>
                <w:rFonts w:hint="default" w:ascii="Roboto Regular" w:hAnsi="Roboto Regular" w:eastAsia="Roboto" w:cs="Roboto Regular"/>
                <w:sz w:val="20"/>
                <w:szCs w:val="20"/>
                <w:rtl w:val="0"/>
              </w:rPr>
            </w:pPr>
            <w:r>
              <w:rPr>
                <w:rFonts w:hint="default" w:ascii="Roboto Regular" w:hAnsi="Roboto Regular" w:cs="Roboto Regular"/>
                <w:sz w:val="20"/>
                <w:szCs w:val="20"/>
                <w:lang w:val="es-ES"/>
              </w:rPr>
              <w:t>E</w:t>
            </w:r>
            <w:r>
              <w:rPr>
                <w:rFonts w:hint="default" w:ascii="Roboto Regular" w:hAnsi="Roboto Regular" w:cs="Roboto Regular"/>
                <w:sz w:val="20"/>
                <w:szCs w:val="20"/>
              </w:rPr>
              <w:t>n desacuerdo</w:t>
            </w:r>
          </w:p>
        </w:tc>
        <w:tc>
          <w:tcPr>
            <w:tcW w:w="2668" w:type="dxa"/>
          </w:tcPr>
          <w:p w14:paraId="0000001A">
            <w:pPr>
              <w:ind w:left="462" w:firstLine="0"/>
              <w:jc w:val="center"/>
              <w:rPr>
                <w:rFonts w:hint="default" w:ascii="Roboto Regular" w:hAnsi="Roboto Regular" w:eastAsia="Roboto" w:cs="Roboto Regular"/>
                <w:sz w:val="20"/>
                <w:szCs w:val="20"/>
                <w:lang w:val="es-ES"/>
              </w:rPr>
            </w:pPr>
            <w:r>
              <w:rPr>
                <w:rFonts w:hint="default" w:ascii="Roboto Regular" w:hAnsi="Roboto Regular" w:eastAsia="Roboto" w:cs="Roboto Regular"/>
                <w:sz w:val="20"/>
                <w:szCs w:val="20"/>
                <w:rtl w:val="0"/>
                <w:lang w:val="es-ES"/>
              </w:rPr>
              <w:t>24.1% (27)</w:t>
            </w:r>
          </w:p>
        </w:tc>
      </w:tr>
      <w:tr w14:paraId="4EBF8749">
        <w:trPr>
          <w:jc w:val="center"/>
        </w:trPr>
        <w:tc>
          <w:tcPr>
            <w:tcW w:w="2133" w:type="dxa"/>
          </w:tcPr>
          <w:p w14:paraId="6B01E45B">
            <w:pPr>
              <w:jc w:val="left"/>
              <w:rPr>
                <w:rFonts w:hint="default" w:ascii="Roboto Regular" w:hAnsi="Roboto Regular" w:cs="Roboto Regular"/>
                <w:sz w:val="20"/>
                <w:szCs w:val="20"/>
                <w:lang w:val="es-ES"/>
              </w:rPr>
            </w:pPr>
            <w:r>
              <w:rPr>
                <w:rFonts w:hint="default" w:ascii="Roboto Regular" w:hAnsi="Roboto Regular" w:cs="Roboto Regular"/>
                <w:sz w:val="20"/>
                <w:szCs w:val="20"/>
                <w:lang w:val="es-ES"/>
              </w:rPr>
              <w:t>Ni en desacuerdo ni acuerdo</w:t>
            </w:r>
          </w:p>
        </w:tc>
        <w:tc>
          <w:tcPr>
            <w:tcW w:w="2668" w:type="dxa"/>
          </w:tcPr>
          <w:p w14:paraId="037A5A29">
            <w:pPr>
              <w:ind w:left="462" w:firstLine="0"/>
              <w:jc w:val="center"/>
              <w:rPr>
                <w:rFonts w:hint="default" w:ascii="Roboto Regular" w:hAnsi="Roboto Regular" w:eastAsia="Roboto" w:cs="Roboto Regular"/>
                <w:sz w:val="20"/>
                <w:szCs w:val="20"/>
                <w:rtl w:val="0"/>
                <w:lang w:val="es-ES"/>
              </w:rPr>
            </w:pPr>
            <w:r>
              <w:rPr>
                <w:rFonts w:hint="default" w:ascii="Roboto Regular" w:hAnsi="Roboto Regular" w:eastAsia="Roboto" w:cs="Roboto Regular"/>
                <w:sz w:val="20"/>
                <w:szCs w:val="20"/>
                <w:rtl w:val="0"/>
                <w:lang w:val="es-ES"/>
              </w:rPr>
              <w:t>22.4% (25)</w:t>
            </w:r>
          </w:p>
        </w:tc>
      </w:tr>
      <w:tr w14:paraId="33944EBB">
        <w:trPr>
          <w:jc w:val="center"/>
        </w:trPr>
        <w:tc>
          <w:tcPr>
            <w:tcW w:w="2133" w:type="dxa"/>
          </w:tcPr>
          <w:p w14:paraId="729DC13F">
            <w:pPr>
              <w:jc w:val="left"/>
              <w:rPr>
                <w:rFonts w:hint="default" w:ascii="Roboto Regular" w:hAnsi="Roboto Regular" w:cs="Roboto Regular"/>
                <w:sz w:val="20"/>
                <w:szCs w:val="20"/>
                <w:lang w:val="es-ES"/>
              </w:rPr>
            </w:pPr>
            <w:r>
              <w:rPr>
                <w:rFonts w:hint="default" w:ascii="Roboto Regular" w:hAnsi="Roboto Regular" w:cs="Roboto Regular"/>
                <w:sz w:val="20"/>
                <w:szCs w:val="20"/>
                <w:lang w:val="es-ES"/>
              </w:rPr>
              <w:t>De acuerdo</w:t>
            </w:r>
          </w:p>
        </w:tc>
        <w:tc>
          <w:tcPr>
            <w:tcW w:w="2668" w:type="dxa"/>
          </w:tcPr>
          <w:p w14:paraId="6CF1A8C9">
            <w:pPr>
              <w:ind w:left="462" w:firstLine="0"/>
              <w:jc w:val="center"/>
              <w:rPr>
                <w:rFonts w:hint="default" w:ascii="Roboto Regular" w:hAnsi="Roboto Regular" w:eastAsia="Roboto" w:cs="Roboto Regular"/>
                <w:sz w:val="20"/>
                <w:szCs w:val="20"/>
                <w:rtl w:val="0"/>
                <w:lang w:val="es-ES"/>
              </w:rPr>
            </w:pPr>
            <w:r>
              <w:rPr>
                <w:rFonts w:hint="default" w:ascii="Roboto Regular" w:hAnsi="Roboto Regular" w:eastAsia="Roboto" w:cs="Roboto Regular"/>
                <w:sz w:val="20"/>
                <w:szCs w:val="20"/>
                <w:rtl w:val="0"/>
                <w:lang w:val="es-ES"/>
              </w:rPr>
              <w:t>33% (37)</w:t>
            </w:r>
          </w:p>
        </w:tc>
      </w:tr>
      <w:tr w14:paraId="18D5F0E3">
        <w:trPr>
          <w:jc w:val="center"/>
        </w:trPr>
        <w:tc>
          <w:tcPr>
            <w:tcW w:w="2133" w:type="dxa"/>
          </w:tcPr>
          <w:p w14:paraId="0A7C1375">
            <w:pPr>
              <w:jc w:val="left"/>
              <w:rPr>
                <w:rFonts w:hint="default" w:ascii="Roboto Regular" w:hAnsi="Roboto Regular" w:cs="Roboto Regular"/>
                <w:sz w:val="20"/>
                <w:szCs w:val="20"/>
              </w:rPr>
            </w:pPr>
            <w:r>
              <w:rPr>
                <w:rFonts w:hint="default" w:ascii="Roboto Regular" w:hAnsi="Roboto Regular" w:cs="Roboto Regular"/>
                <w:sz w:val="20"/>
                <w:szCs w:val="20"/>
              </w:rPr>
              <w:t xml:space="preserve">Completamente </w:t>
            </w:r>
            <w:r>
              <w:rPr>
                <w:rFonts w:hint="default" w:ascii="Roboto Regular" w:hAnsi="Roboto Regular" w:cs="Roboto Regular"/>
                <w:sz w:val="20"/>
                <w:szCs w:val="20"/>
                <w:lang w:val="es-ES"/>
              </w:rPr>
              <w:t xml:space="preserve">de </w:t>
            </w:r>
            <w:r>
              <w:rPr>
                <w:rFonts w:hint="default" w:ascii="Roboto Regular" w:hAnsi="Roboto Regular" w:cs="Roboto Regular"/>
                <w:sz w:val="20"/>
                <w:szCs w:val="20"/>
              </w:rPr>
              <w:t>acuerdo</w:t>
            </w:r>
          </w:p>
        </w:tc>
        <w:tc>
          <w:tcPr>
            <w:tcW w:w="2668" w:type="dxa"/>
          </w:tcPr>
          <w:p w14:paraId="4C269E59">
            <w:pPr>
              <w:ind w:left="462" w:firstLine="0"/>
              <w:jc w:val="center"/>
              <w:rPr>
                <w:rFonts w:hint="default" w:ascii="Roboto Regular" w:hAnsi="Roboto Regular" w:eastAsia="Roboto" w:cs="Roboto Regular"/>
                <w:sz w:val="20"/>
                <w:szCs w:val="20"/>
                <w:rtl w:val="0"/>
                <w:lang w:val="es-ES"/>
              </w:rPr>
            </w:pPr>
            <w:r>
              <w:rPr>
                <w:rFonts w:hint="default" w:ascii="Roboto Regular" w:hAnsi="Roboto Regular" w:eastAsia="Roboto" w:cs="Roboto Regular"/>
                <w:sz w:val="20"/>
                <w:szCs w:val="20"/>
                <w:rtl w:val="0"/>
                <w:lang w:val="es-ES"/>
              </w:rPr>
              <w:t>8% (9)</w:t>
            </w:r>
          </w:p>
        </w:tc>
      </w:tr>
      <w:tr w14:paraId="3B6350F5">
        <w:trPr>
          <w:jc w:val="center"/>
        </w:trPr>
        <w:tc>
          <w:tcPr>
            <w:tcW w:w="2133" w:type="dxa"/>
          </w:tcPr>
          <w:p w14:paraId="190922D9">
            <w:pPr>
              <w:ind w:left="462" w:firstLine="0"/>
              <w:jc w:val="right"/>
              <w:rPr>
                <w:rFonts w:hint="default" w:ascii="Roboto Regular" w:hAnsi="Roboto Regular" w:cs="Roboto Regular"/>
                <w:b/>
                <w:bCs/>
                <w:sz w:val="20"/>
                <w:szCs w:val="20"/>
                <w:lang w:val="es-ES"/>
              </w:rPr>
            </w:pPr>
            <w:r>
              <w:rPr>
                <w:rFonts w:hint="default" w:ascii="Roboto Regular" w:hAnsi="Roboto Regular" w:cs="Roboto Regular"/>
                <w:b/>
                <w:bCs/>
                <w:sz w:val="20"/>
                <w:szCs w:val="20"/>
                <w:lang w:val="es-ES"/>
              </w:rPr>
              <w:t>Total</w:t>
            </w:r>
          </w:p>
        </w:tc>
        <w:tc>
          <w:tcPr>
            <w:tcW w:w="2668" w:type="dxa"/>
          </w:tcPr>
          <w:p w14:paraId="5627891E">
            <w:pPr>
              <w:ind w:left="462" w:firstLine="0"/>
              <w:jc w:val="center"/>
              <w:rPr>
                <w:rFonts w:hint="default" w:ascii="Roboto Regular" w:hAnsi="Roboto Regular" w:eastAsia="Roboto" w:cs="Roboto Regular"/>
                <w:b/>
                <w:bCs/>
                <w:sz w:val="20"/>
                <w:szCs w:val="20"/>
                <w:rtl w:val="0"/>
                <w:lang w:val="es-ES"/>
              </w:rPr>
            </w:pPr>
            <w:r>
              <w:rPr>
                <w:rFonts w:hint="default" w:ascii="Roboto Regular" w:hAnsi="Roboto Regular" w:eastAsia="Roboto" w:cs="Roboto Regular"/>
                <w:b/>
                <w:bCs/>
                <w:sz w:val="20"/>
                <w:szCs w:val="20"/>
                <w:rtl w:val="0"/>
                <w:lang w:val="es-ES"/>
              </w:rPr>
              <w:t>100% (112)</w:t>
            </w:r>
          </w:p>
        </w:tc>
      </w:tr>
    </w:tbl>
    <w:p w14:paraId="5B4DAACE">
      <w:pPr>
        <w:pBdr>
          <w:top w:val="none" w:color="auto" w:sz="0" w:space="0"/>
          <w:left w:val="none" w:color="auto" w:sz="0" w:space="0"/>
          <w:bottom w:val="none" w:color="auto" w:sz="0" w:space="0"/>
          <w:right w:val="none" w:color="auto" w:sz="0" w:space="0"/>
          <w:between w:val="none" w:color="auto" w:sz="0" w:space="0"/>
        </w:pBdr>
        <w:jc w:val="both"/>
        <w:rPr>
          <w:rFonts w:ascii="Roboto" w:hAnsi="Roboto" w:eastAsia="Roboto" w:cs="Roboto"/>
          <w:color w:val="000000"/>
          <w:sz w:val="20"/>
          <w:szCs w:val="20"/>
        </w:rPr>
      </w:pPr>
    </w:p>
    <w:p w14:paraId="00000020">
      <w:pPr>
        <w:jc w:val="both"/>
        <w:rPr>
          <w:rFonts w:hint="default" w:ascii="Roboto" w:hAnsi="Roboto" w:eastAsia="Roboto" w:cs="Roboto"/>
          <w:b/>
          <w:sz w:val="20"/>
          <w:szCs w:val="20"/>
          <w:lang w:val="es-ES"/>
        </w:rPr>
      </w:pPr>
      <w:r>
        <w:rPr>
          <w:rFonts w:hint="default" w:ascii="Roboto" w:hAnsi="Roboto" w:eastAsia="Roboto" w:cs="Roboto"/>
          <w:b/>
          <w:sz w:val="20"/>
          <w:szCs w:val="20"/>
          <w:lang w:val="es-ES"/>
        </w:rPr>
        <w:t>DISCUSIÓN Y CONCLUSIONES</w:t>
      </w:r>
    </w:p>
    <w:p w14:paraId="232AD8D8">
      <w:pPr>
        <w:jc w:val="both"/>
        <w:rPr>
          <w:rFonts w:hint="default" w:ascii="Roboto" w:hAnsi="Roboto" w:eastAsia="Roboto" w:cs="Roboto"/>
          <w:sz w:val="20"/>
          <w:szCs w:val="20"/>
          <w:rtl w:val="0"/>
          <w:lang w:val="es-ES"/>
        </w:rPr>
      </w:pPr>
      <w:r>
        <w:rPr>
          <w:rFonts w:hint="default" w:ascii="Roboto" w:hAnsi="Roboto" w:eastAsia="Roboto" w:cs="Roboto"/>
          <w:sz w:val="20"/>
          <w:szCs w:val="20"/>
          <w:rtl w:val="0"/>
          <w:lang w:val="es-ES"/>
        </w:rPr>
        <w:t>La prueba EGEL Plus se encuentra en un punto de inflexión. Los resultados del cuestionario de percepción de utilidad entre sustentantes sugieren que, a medida que la IA penetra en distintas actividades del ámbito profesional, un examen estandarizado con base textual como éste correo el peligro de volverse obsoleto. Como menciona Strate (2017) en su modelo del zigurat de entornos mediáticos, cuando una nueva tecnología modifica la base de la pirámide se mueven las partes superiores de la misma: las enfocadas en lo social y lingüístico. La aplicación del EGEL Plus es un ejemplo de este proceso. Con esto en mente, es claro que esta indagatoria presenta sesgos en cuanto a la recolección de la muestra, pues el grueso de los participantes respondió el EGEL Plus dirigido a egresados de la Licenciatura en Comunicación. De la misma manera, la mayoría de estos pertenece a alguna escuela privada. Se requiere un trabajo más amplio para darle mayor representatividad a los resultados. Aún así pueden ser útiles como punto de partida para otras investigaciones sobre el mismo tema.</w:t>
      </w:r>
    </w:p>
    <w:p w14:paraId="69ECE7C9">
      <w:pPr>
        <w:jc w:val="both"/>
        <w:rPr>
          <w:rFonts w:ascii="Roboto" w:hAnsi="Roboto" w:eastAsia="Roboto" w:cs="Roboto"/>
          <w:b/>
          <w:sz w:val="20"/>
          <w:szCs w:val="20"/>
          <w:rtl w:val="0"/>
        </w:rPr>
      </w:pPr>
    </w:p>
    <w:p w14:paraId="09575964">
      <w:pPr>
        <w:jc w:val="both"/>
        <w:rPr>
          <w:rFonts w:hint="default" w:ascii="Roboto" w:hAnsi="Roboto" w:eastAsia="Roboto"/>
          <w:sz w:val="20"/>
          <w:szCs w:val="20"/>
          <w:rtl w:val="0"/>
        </w:rPr>
      </w:pPr>
      <w:r>
        <w:rPr>
          <w:rFonts w:ascii="Roboto" w:hAnsi="Roboto" w:eastAsia="Roboto" w:cs="Roboto"/>
          <w:b/>
          <w:sz w:val="20"/>
          <w:szCs w:val="20"/>
          <w:rtl w:val="0"/>
        </w:rPr>
        <w:t>REFERENCIAS</w:t>
      </w:r>
    </w:p>
    <w:p w14:paraId="445CE2E5">
      <w:pPr>
        <w:numPr>
          <w:ilvl w:val="0"/>
          <w:numId w:val="0"/>
        </w:numPr>
        <w:jc w:val="left"/>
        <w:rPr>
          <w:rFonts w:hint="default" w:ascii="Roboto" w:hAnsi="Roboto" w:eastAsia="Roboto"/>
          <w:sz w:val="20"/>
          <w:szCs w:val="20"/>
        </w:rPr>
      </w:pPr>
      <w:r>
        <w:rPr>
          <w:rFonts w:hint="default" w:ascii="Roboto" w:hAnsi="Roboto" w:eastAsia="Roboto"/>
          <w:sz w:val="20"/>
          <w:szCs w:val="20"/>
          <w:rtl w:val="0"/>
        </w:rPr>
        <w:t xml:space="preserve">Castelán-Urquiza, D., &amp; González-Vázquez, G. (2024). Statistical analysis using Excel and RStudium of the EGEL-ARQUI graduation EXAM + 2023. </w:t>
      </w:r>
      <w:r>
        <w:rPr>
          <w:rFonts w:hint="default" w:ascii="Roboto Italic" w:hAnsi="Roboto Italic" w:eastAsia="Roboto" w:cs="Roboto Italic"/>
          <w:i/>
          <w:iCs/>
          <w:sz w:val="20"/>
          <w:szCs w:val="20"/>
          <w:rtl w:val="0"/>
          <w:lang w:val="es-ES"/>
        </w:rPr>
        <w:t>ECORFAN</w:t>
      </w:r>
      <w:r>
        <w:rPr>
          <w:rFonts w:hint="default" w:ascii="Roboto" w:hAnsi="Roboto" w:eastAsia="Roboto"/>
          <w:sz w:val="20"/>
          <w:szCs w:val="20"/>
          <w:rtl w:val="0"/>
          <w:lang w:val="es-ES"/>
        </w:rPr>
        <w:t xml:space="preserve"> </w:t>
      </w:r>
      <w:r>
        <w:rPr>
          <w:rFonts w:hint="default" w:ascii="Roboto Italic" w:hAnsi="Roboto Italic" w:eastAsia="Roboto" w:cs="Roboto Italic"/>
          <w:i/>
          <w:iCs/>
          <w:sz w:val="20"/>
          <w:szCs w:val="20"/>
          <w:rtl w:val="0"/>
        </w:rPr>
        <w:t>Handbook HSCIA</w:t>
      </w:r>
      <w:r>
        <w:rPr>
          <w:rFonts w:hint="default" w:ascii="Roboto" w:hAnsi="Roboto" w:eastAsia="Roboto"/>
          <w:sz w:val="20"/>
          <w:szCs w:val="20"/>
          <w:rtl w:val="0"/>
        </w:rPr>
        <w:t xml:space="preserve">, 64-76. </w:t>
      </w:r>
      <w:r>
        <w:rPr>
          <w:rFonts w:hint="default" w:ascii="Roboto" w:hAnsi="Roboto" w:eastAsia="Roboto"/>
          <w:sz w:val="20"/>
          <w:szCs w:val="20"/>
        </w:rPr>
        <w:fldChar w:fldCharType="begin"/>
      </w:r>
      <w:r>
        <w:rPr>
          <w:rFonts w:hint="default" w:ascii="Roboto" w:hAnsi="Roboto" w:eastAsia="Roboto"/>
          <w:sz w:val="20"/>
          <w:szCs w:val="20"/>
        </w:rPr>
        <w:instrText xml:space="preserve"> HYPERLINK "https://doi.org/10.35429/H.2024.17.64.76" </w:instrText>
      </w:r>
      <w:r>
        <w:rPr>
          <w:rFonts w:hint="default" w:ascii="Roboto" w:hAnsi="Roboto" w:eastAsia="Roboto"/>
          <w:sz w:val="20"/>
          <w:szCs w:val="20"/>
        </w:rPr>
        <w:fldChar w:fldCharType="separate"/>
      </w:r>
      <w:r>
        <w:rPr>
          <w:rStyle w:val="10"/>
          <w:rFonts w:hint="default" w:ascii="Roboto" w:hAnsi="Roboto" w:eastAsia="Roboto"/>
          <w:sz w:val="20"/>
          <w:szCs w:val="20"/>
          <w:rtl w:val="0"/>
        </w:rPr>
        <w:t>https://doi.org/10.35429/H.2024.17.64.76</w:t>
      </w:r>
      <w:r>
        <w:rPr>
          <w:rFonts w:hint="default" w:ascii="Roboto" w:hAnsi="Roboto" w:eastAsia="Roboto"/>
          <w:sz w:val="20"/>
          <w:szCs w:val="20"/>
        </w:rPr>
        <w:fldChar w:fldCharType="end"/>
      </w:r>
    </w:p>
    <w:p w14:paraId="10B50BAC">
      <w:pPr>
        <w:jc w:val="left"/>
        <w:rPr>
          <w:rFonts w:hint="default" w:ascii="Roboto" w:hAnsi="Roboto" w:eastAsia="Roboto"/>
          <w:sz w:val="20"/>
          <w:szCs w:val="20"/>
        </w:rPr>
      </w:pPr>
      <w:r>
        <w:rPr>
          <w:rFonts w:hint="default" w:ascii="Roboto" w:hAnsi="Roboto" w:eastAsia="Roboto"/>
          <w:sz w:val="20"/>
          <w:szCs w:val="20"/>
          <w:rtl w:val="0"/>
        </w:rPr>
        <w:t xml:space="preserve">Castelao-Huerta, I. (2024). Gubernamentalidad neoliberal soft: el caso de la educación superior pública en México. </w:t>
      </w:r>
      <w:r>
        <w:rPr>
          <w:rFonts w:hint="default" w:ascii="Roboto Italic" w:hAnsi="Roboto Italic" w:eastAsia="Roboto" w:cs="Roboto Italic"/>
          <w:i/>
          <w:iCs/>
          <w:sz w:val="20"/>
          <w:szCs w:val="20"/>
          <w:rtl w:val="0"/>
        </w:rPr>
        <w:t>Revista Iberoamericana de Educación Superior</w:t>
      </w:r>
      <w:r>
        <w:rPr>
          <w:rFonts w:hint="default" w:ascii="Roboto" w:hAnsi="Roboto" w:eastAsia="Roboto"/>
          <w:sz w:val="20"/>
          <w:szCs w:val="20"/>
          <w:rtl w:val="0"/>
        </w:rPr>
        <w:t xml:space="preserve">, </w:t>
      </w:r>
      <w:r>
        <w:rPr>
          <w:rFonts w:hint="default" w:ascii="Roboto Italic" w:hAnsi="Roboto Italic" w:eastAsia="Roboto" w:cs="Roboto Italic"/>
          <w:i/>
          <w:iCs/>
          <w:sz w:val="20"/>
          <w:szCs w:val="20"/>
          <w:rtl w:val="0"/>
        </w:rPr>
        <w:t>15</w:t>
      </w:r>
      <w:r>
        <w:rPr>
          <w:rFonts w:hint="default" w:ascii="Roboto" w:hAnsi="Roboto" w:eastAsia="Roboto"/>
          <w:sz w:val="20"/>
          <w:szCs w:val="20"/>
          <w:rtl w:val="0"/>
        </w:rPr>
        <w:t xml:space="preserve">(42), 79-100. </w:t>
      </w:r>
      <w:r>
        <w:rPr>
          <w:rFonts w:hint="default" w:ascii="Roboto" w:hAnsi="Roboto" w:eastAsia="Roboto"/>
          <w:sz w:val="20"/>
          <w:szCs w:val="20"/>
        </w:rPr>
        <w:fldChar w:fldCharType="begin"/>
      </w:r>
      <w:r>
        <w:rPr>
          <w:rFonts w:hint="default" w:ascii="Roboto" w:hAnsi="Roboto" w:eastAsia="Roboto"/>
          <w:sz w:val="20"/>
          <w:szCs w:val="20"/>
        </w:rPr>
        <w:instrText xml:space="preserve"> HYPERLINK "https://doi.org/10.22201/iisue.20072872e.2024.42.1665" </w:instrText>
      </w:r>
      <w:r>
        <w:rPr>
          <w:rFonts w:hint="default" w:ascii="Roboto" w:hAnsi="Roboto" w:eastAsia="Roboto"/>
          <w:sz w:val="20"/>
          <w:szCs w:val="20"/>
        </w:rPr>
        <w:fldChar w:fldCharType="separate"/>
      </w:r>
      <w:r>
        <w:rPr>
          <w:rStyle w:val="10"/>
          <w:rFonts w:hint="default" w:ascii="Roboto" w:hAnsi="Roboto" w:eastAsia="Roboto"/>
          <w:sz w:val="20"/>
          <w:szCs w:val="20"/>
          <w:rtl w:val="0"/>
        </w:rPr>
        <w:t>https://doi.org/10.22201/iisue.20072872e.2024.42.1665</w:t>
      </w:r>
      <w:r>
        <w:rPr>
          <w:rFonts w:hint="default" w:ascii="Roboto" w:hAnsi="Roboto" w:eastAsia="Roboto"/>
          <w:sz w:val="20"/>
          <w:szCs w:val="20"/>
        </w:rPr>
        <w:fldChar w:fldCharType="end"/>
      </w:r>
    </w:p>
    <w:p w14:paraId="428D4F90">
      <w:pPr>
        <w:jc w:val="left"/>
        <w:rPr>
          <w:rFonts w:hint="default" w:ascii="Roboto" w:hAnsi="Roboto" w:eastAsia="Roboto"/>
          <w:sz w:val="20"/>
          <w:szCs w:val="20"/>
          <w:lang w:val="es-ES"/>
        </w:rPr>
      </w:pPr>
      <w:r>
        <w:rPr>
          <w:rFonts w:hint="default" w:ascii="Roboto" w:hAnsi="Roboto" w:eastAsia="Roboto"/>
          <w:sz w:val="20"/>
          <w:szCs w:val="20"/>
          <w:rtl w:val="0"/>
        </w:rPr>
        <w:t>CENEVAL</w:t>
      </w:r>
      <w:r>
        <w:rPr>
          <w:rFonts w:hint="default" w:ascii="Roboto" w:hAnsi="Roboto" w:eastAsia="Roboto"/>
          <w:sz w:val="20"/>
          <w:szCs w:val="20"/>
          <w:rtl w:val="0"/>
          <w:lang w:val="es-ES"/>
        </w:rPr>
        <w:t xml:space="preserve">. (2024). </w:t>
      </w:r>
      <w:r>
        <w:rPr>
          <w:rFonts w:hint="default" w:ascii="Roboto Italic" w:hAnsi="Roboto Italic" w:eastAsia="Roboto" w:cs="Roboto Italic"/>
          <w:i/>
          <w:iCs/>
          <w:sz w:val="20"/>
          <w:szCs w:val="20"/>
          <w:rtl w:val="0"/>
          <w:lang w:val="es-ES"/>
        </w:rPr>
        <w:t>Anuario Estadístico 2023</w:t>
      </w:r>
      <w:r>
        <w:rPr>
          <w:rFonts w:hint="default" w:ascii="Roboto" w:hAnsi="Roboto" w:eastAsia="Roboto"/>
          <w:sz w:val="20"/>
          <w:szCs w:val="20"/>
          <w:rtl w:val="0"/>
          <w:lang w:val="es-ES"/>
        </w:rPr>
        <w:t xml:space="preserve">. </w:t>
      </w:r>
      <w:r>
        <w:rPr>
          <w:rFonts w:hint="default" w:ascii="Roboto" w:hAnsi="Roboto" w:eastAsia="Roboto"/>
          <w:sz w:val="20"/>
          <w:szCs w:val="20"/>
          <w:rtl w:val="0"/>
        </w:rPr>
        <w:t xml:space="preserve">Centro Nacional </w:t>
      </w:r>
      <w:r>
        <w:rPr>
          <w:rFonts w:hint="default" w:ascii="Roboto" w:hAnsi="Roboto" w:eastAsia="Roboto"/>
          <w:sz w:val="20"/>
          <w:szCs w:val="20"/>
          <w:rtl w:val="0"/>
          <w:lang w:val="es-ES"/>
        </w:rPr>
        <w:t xml:space="preserve">de </w:t>
      </w:r>
      <w:r>
        <w:rPr>
          <w:rFonts w:hint="default" w:ascii="Roboto" w:hAnsi="Roboto" w:eastAsia="Roboto"/>
          <w:sz w:val="20"/>
          <w:szCs w:val="20"/>
          <w:rtl w:val="0"/>
        </w:rPr>
        <w:t xml:space="preserve">Evaluación </w:t>
      </w:r>
      <w:r>
        <w:rPr>
          <w:rFonts w:hint="default" w:ascii="Roboto" w:hAnsi="Roboto" w:eastAsia="Roboto"/>
          <w:sz w:val="20"/>
          <w:szCs w:val="20"/>
          <w:rtl w:val="0"/>
          <w:lang w:val="es-ES"/>
        </w:rPr>
        <w:t xml:space="preserve">para la Educación </w:t>
      </w:r>
      <w:r>
        <w:rPr>
          <w:rFonts w:hint="default" w:ascii="Roboto" w:hAnsi="Roboto" w:eastAsia="Roboto"/>
          <w:sz w:val="20"/>
          <w:szCs w:val="20"/>
          <w:rtl w:val="0"/>
        </w:rPr>
        <w:t>Superior</w:t>
      </w:r>
      <w:r>
        <w:rPr>
          <w:rFonts w:hint="default" w:ascii="Roboto" w:hAnsi="Roboto" w:eastAsia="Roboto"/>
          <w:sz w:val="20"/>
          <w:szCs w:val="20"/>
          <w:rtl w:val="0"/>
          <w:lang w:val="es-ES"/>
        </w:rPr>
        <w:t xml:space="preserve">, A C. </w:t>
      </w:r>
      <w:r>
        <w:rPr>
          <w:rFonts w:hint="default" w:ascii="Roboto" w:hAnsi="Roboto" w:eastAsia="Roboto"/>
          <w:sz w:val="20"/>
          <w:szCs w:val="20"/>
          <w:lang w:val="es-ES"/>
        </w:rPr>
        <w:fldChar w:fldCharType="begin"/>
      </w:r>
      <w:r>
        <w:rPr>
          <w:rFonts w:hint="default" w:ascii="Roboto" w:hAnsi="Roboto" w:eastAsia="Roboto"/>
          <w:sz w:val="20"/>
          <w:szCs w:val="20"/>
          <w:lang w:val="es-ES"/>
        </w:rPr>
        <w:instrText xml:space="preserve"> HYPERLINK "https://online.flippingbook.com/view/22783921/2/" </w:instrText>
      </w:r>
      <w:r>
        <w:rPr>
          <w:rFonts w:hint="default" w:ascii="Roboto" w:hAnsi="Roboto" w:eastAsia="Roboto"/>
          <w:sz w:val="20"/>
          <w:szCs w:val="20"/>
          <w:lang w:val="es-ES"/>
        </w:rPr>
        <w:fldChar w:fldCharType="separate"/>
      </w:r>
      <w:r>
        <w:rPr>
          <w:rStyle w:val="10"/>
          <w:rFonts w:hint="default" w:ascii="Roboto" w:hAnsi="Roboto" w:eastAsia="Roboto"/>
          <w:sz w:val="20"/>
          <w:szCs w:val="20"/>
          <w:rtl w:val="0"/>
          <w:lang w:val="es-ES"/>
        </w:rPr>
        <w:t>https://online.flippingbook.com/view/22783921/2/</w:t>
      </w:r>
      <w:r>
        <w:rPr>
          <w:rFonts w:hint="default" w:ascii="Roboto" w:hAnsi="Roboto" w:eastAsia="Roboto"/>
          <w:sz w:val="20"/>
          <w:szCs w:val="20"/>
          <w:lang w:val="es-ES"/>
        </w:rPr>
        <w:fldChar w:fldCharType="end"/>
      </w:r>
    </w:p>
    <w:p w14:paraId="26858F2D">
      <w:pPr>
        <w:jc w:val="left"/>
        <w:rPr>
          <w:rFonts w:hint="default" w:ascii="Roboto" w:hAnsi="Roboto" w:eastAsia="Roboto"/>
          <w:sz w:val="20"/>
          <w:szCs w:val="20"/>
        </w:rPr>
      </w:pPr>
      <w:r>
        <w:rPr>
          <w:rFonts w:hint="default" w:ascii="Roboto" w:hAnsi="Roboto" w:eastAsia="Roboto"/>
          <w:sz w:val="20"/>
          <w:szCs w:val="20"/>
          <w:rtl w:val="0"/>
        </w:rPr>
        <w:t xml:space="preserve">Cornejo Gutiérrez, F., Franco Casillas, S., &amp; Islas Torres, C. (2023). Análisis descriptivo del examen EGEL-COMPU y su testimonio de desempeño. </w:t>
      </w:r>
      <w:r>
        <w:rPr>
          <w:rFonts w:hint="default" w:ascii="Roboto Italic" w:hAnsi="Roboto Italic" w:eastAsia="Roboto" w:cs="Roboto Italic"/>
          <w:i/>
          <w:iCs/>
          <w:sz w:val="20"/>
          <w:szCs w:val="20"/>
          <w:rtl w:val="0"/>
        </w:rPr>
        <w:t>Transdigital</w:t>
      </w:r>
      <w:r>
        <w:rPr>
          <w:rFonts w:hint="default" w:ascii="Roboto" w:hAnsi="Roboto" w:eastAsia="Roboto"/>
          <w:sz w:val="20"/>
          <w:szCs w:val="20"/>
          <w:rtl w:val="0"/>
        </w:rPr>
        <w:t xml:space="preserve">, </w:t>
      </w:r>
      <w:r>
        <w:rPr>
          <w:rFonts w:hint="default" w:ascii="Roboto Italic" w:hAnsi="Roboto Italic" w:eastAsia="Roboto" w:cs="Roboto Italic"/>
          <w:i/>
          <w:iCs/>
          <w:sz w:val="20"/>
          <w:szCs w:val="20"/>
          <w:rtl w:val="0"/>
        </w:rPr>
        <w:t>4</w:t>
      </w:r>
      <w:r>
        <w:rPr>
          <w:rFonts w:hint="default" w:ascii="Roboto" w:hAnsi="Roboto" w:eastAsia="Roboto"/>
          <w:sz w:val="20"/>
          <w:szCs w:val="20"/>
          <w:rtl w:val="0"/>
        </w:rPr>
        <w:t xml:space="preserve">(7), 1–16. </w:t>
      </w:r>
      <w:r>
        <w:rPr>
          <w:rFonts w:hint="default" w:ascii="Roboto" w:hAnsi="Roboto" w:eastAsia="Roboto"/>
          <w:sz w:val="20"/>
          <w:szCs w:val="20"/>
        </w:rPr>
        <w:fldChar w:fldCharType="begin"/>
      </w:r>
      <w:r>
        <w:rPr>
          <w:rFonts w:hint="default" w:ascii="Roboto" w:hAnsi="Roboto" w:eastAsia="Roboto"/>
          <w:sz w:val="20"/>
          <w:szCs w:val="20"/>
        </w:rPr>
        <w:instrText xml:space="preserve"> HYPERLINK "https://doi.org/10.56162/transdigital154" </w:instrText>
      </w:r>
      <w:r>
        <w:rPr>
          <w:rFonts w:hint="default" w:ascii="Roboto" w:hAnsi="Roboto" w:eastAsia="Roboto"/>
          <w:sz w:val="20"/>
          <w:szCs w:val="20"/>
        </w:rPr>
        <w:fldChar w:fldCharType="separate"/>
      </w:r>
      <w:r>
        <w:rPr>
          <w:rStyle w:val="10"/>
          <w:rFonts w:hint="default" w:ascii="Roboto" w:hAnsi="Roboto" w:eastAsia="Roboto"/>
          <w:sz w:val="20"/>
          <w:szCs w:val="20"/>
          <w:rtl w:val="0"/>
        </w:rPr>
        <w:t>https://doi.org/10.56162/transdigital154</w:t>
      </w:r>
      <w:r>
        <w:rPr>
          <w:rFonts w:hint="default" w:ascii="Roboto" w:hAnsi="Roboto" w:eastAsia="Roboto"/>
          <w:sz w:val="20"/>
          <w:szCs w:val="20"/>
        </w:rPr>
        <w:fldChar w:fldCharType="end"/>
      </w:r>
    </w:p>
    <w:p w14:paraId="3DBD680D">
      <w:pPr>
        <w:numPr>
          <w:ilvl w:val="0"/>
          <w:numId w:val="0"/>
        </w:numPr>
        <w:jc w:val="left"/>
        <w:rPr>
          <w:rFonts w:hint="default" w:ascii="Roboto" w:hAnsi="Roboto" w:eastAsia="Roboto"/>
          <w:sz w:val="20"/>
          <w:szCs w:val="20"/>
          <w:rtl w:val="0"/>
          <w:lang w:val="es-ES"/>
        </w:rPr>
      </w:pPr>
      <w:r>
        <w:rPr>
          <w:rFonts w:hint="default" w:ascii="Roboto" w:hAnsi="Roboto" w:eastAsia="Roboto"/>
          <w:sz w:val="20"/>
          <w:szCs w:val="20"/>
          <w:rtl w:val="0"/>
        </w:rPr>
        <w:t xml:space="preserve">Gago Huguet, A. (2000). El CENEVAL y la evaluación externa de la educación en México. </w:t>
      </w:r>
      <w:r>
        <w:rPr>
          <w:rFonts w:hint="default" w:ascii="Roboto Italic" w:hAnsi="Roboto Italic" w:eastAsia="Roboto" w:cs="Roboto Italic"/>
          <w:i/>
          <w:iCs/>
          <w:sz w:val="20"/>
          <w:szCs w:val="20"/>
          <w:rtl w:val="0"/>
        </w:rPr>
        <w:t>Revista Electrónica de Investigación Educativa</w:t>
      </w:r>
      <w:r>
        <w:rPr>
          <w:rFonts w:hint="default" w:ascii="Roboto" w:hAnsi="Roboto" w:eastAsia="Roboto"/>
          <w:sz w:val="20"/>
          <w:szCs w:val="20"/>
          <w:rtl w:val="0"/>
        </w:rPr>
        <w:t xml:space="preserve">, </w:t>
      </w:r>
      <w:r>
        <w:rPr>
          <w:rFonts w:hint="default" w:ascii="Roboto Italic" w:hAnsi="Roboto Italic" w:eastAsia="Roboto" w:cs="Roboto Italic"/>
          <w:i/>
          <w:iCs/>
          <w:sz w:val="20"/>
          <w:szCs w:val="20"/>
          <w:rtl w:val="0"/>
        </w:rPr>
        <w:t>2</w:t>
      </w:r>
      <w:r>
        <w:rPr>
          <w:rFonts w:hint="default" w:ascii="Roboto" w:hAnsi="Roboto" w:eastAsia="Roboto"/>
          <w:sz w:val="20"/>
          <w:szCs w:val="20"/>
          <w:rtl w:val="0"/>
        </w:rPr>
        <w:t>(2).</w:t>
      </w:r>
      <w:r>
        <w:rPr>
          <w:rFonts w:hint="default" w:ascii="Roboto" w:hAnsi="Roboto" w:eastAsia="Roboto"/>
          <w:sz w:val="20"/>
          <w:szCs w:val="20"/>
          <w:rtl w:val="0"/>
          <w:lang w:val="es-ES"/>
        </w:rPr>
        <w:t xml:space="preserve"> </w:t>
      </w:r>
      <w:r>
        <w:rPr>
          <w:rFonts w:hint="default" w:ascii="Roboto" w:hAnsi="Roboto" w:eastAsia="Roboto"/>
          <w:sz w:val="20"/>
          <w:szCs w:val="20"/>
          <w:lang w:val="es-ES"/>
        </w:rPr>
        <w:fldChar w:fldCharType="begin"/>
      </w:r>
      <w:r>
        <w:rPr>
          <w:rFonts w:hint="default" w:ascii="Roboto" w:hAnsi="Roboto" w:eastAsia="Roboto"/>
          <w:sz w:val="20"/>
          <w:szCs w:val="20"/>
          <w:lang w:val="es-ES"/>
        </w:rPr>
        <w:instrText xml:space="preserve"> HYPERLINK "https://redie.uabc.mx/redie/article/view/30/1367" </w:instrText>
      </w:r>
      <w:r>
        <w:rPr>
          <w:rFonts w:hint="default" w:ascii="Roboto" w:hAnsi="Roboto" w:eastAsia="Roboto"/>
          <w:sz w:val="20"/>
          <w:szCs w:val="20"/>
          <w:lang w:val="es-ES"/>
        </w:rPr>
        <w:fldChar w:fldCharType="separate"/>
      </w:r>
      <w:r>
        <w:rPr>
          <w:rStyle w:val="10"/>
          <w:rFonts w:hint="default" w:ascii="Roboto" w:hAnsi="Roboto" w:eastAsia="Roboto"/>
          <w:sz w:val="20"/>
          <w:szCs w:val="20"/>
          <w:rtl w:val="0"/>
          <w:lang w:val="es-ES"/>
        </w:rPr>
        <w:t>https://redie.uabc.mx/redie/article/view/30/1367</w:t>
      </w:r>
      <w:r>
        <w:rPr>
          <w:rFonts w:hint="default" w:ascii="Roboto" w:hAnsi="Roboto" w:eastAsia="Roboto"/>
          <w:sz w:val="20"/>
          <w:szCs w:val="20"/>
          <w:lang w:val="es-ES"/>
        </w:rPr>
        <w:fldChar w:fldCharType="end"/>
      </w:r>
    </w:p>
    <w:p w14:paraId="63AC6544">
      <w:pPr>
        <w:numPr>
          <w:ilvl w:val="0"/>
          <w:numId w:val="0"/>
        </w:numPr>
        <w:ind w:leftChars="0"/>
        <w:jc w:val="left"/>
        <w:rPr>
          <w:rFonts w:hint="default" w:ascii="Roboto" w:hAnsi="Roboto" w:eastAsia="Roboto"/>
          <w:sz w:val="20"/>
          <w:szCs w:val="20"/>
        </w:rPr>
      </w:pPr>
      <w:r>
        <w:rPr>
          <w:rFonts w:hint="default" w:ascii="Roboto" w:hAnsi="Roboto" w:eastAsia="Roboto"/>
          <w:sz w:val="20"/>
          <w:szCs w:val="20"/>
          <w:rtl w:val="0"/>
        </w:rPr>
        <w:t xml:space="preserve">García Rangel, M., Maldonado Cervantes, M. I., Castillo Hernández, J. R., Bautista Robles, S., &amp; Martel Gallegos, M. G. (2024). Examen de Ingreso, Rezago Académico y Examen de Egreso en Estudiantes Universitarios en México. </w:t>
      </w:r>
      <w:r>
        <w:rPr>
          <w:rFonts w:hint="default" w:ascii="Roboto Italic" w:hAnsi="Roboto Italic" w:eastAsia="Roboto" w:cs="Roboto Italic"/>
          <w:i/>
          <w:iCs/>
          <w:sz w:val="20"/>
          <w:szCs w:val="20"/>
          <w:rtl w:val="0"/>
        </w:rPr>
        <w:t>Ciencia Latina Revista Científica Multidisciplinar</w:t>
      </w:r>
      <w:r>
        <w:rPr>
          <w:rFonts w:hint="default" w:ascii="Roboto" w:hAnsi="Roboto" w:eastAsia="Roboto"/>
          <w:sz w:val="20"/>
          <w:szCs w:val="20"/>
          <w:rtl w:val="0"/>
        </w:rPr>
        <w:t xml:space="preserve">, </w:t>
      </w:r>
      <w:r>
        <w:rPr>
          <w:rFonts w:hint="default" w:ascii="Roboto Italic" w:hAnsi="Roboto Italic" w:eastAsia="Roboto" w:cs="Roboto Italic"/>
          <w:i/>
          <w:iCs/>
          <w:sz w:val="20"/>
          <w:szCs w:val="20"/>
          <w:rtl w:val="0"/>
        </w:rPr>
        <w:t>8</w:t>
      </w:r>
      <w:r>
        <w:rPr>
          <w:rFonts w:hint="default" w:ascii="Roboto" w:hAnsi="Roboto" w:eastAsia="Roboto"/>
          <w:sz w:val="20"/>
          <w:szCs w:val="20"/>
          <w:rtl w:val="0"/>
        </w:rPr>
        <w:t xml:space="preserve">(5). </w:t>
      </w:r>
      <w:r>
        <w:rPr>
          <w:rFonts w:hint="default" w:ascii="Roboto" w:hAnsi="Roboto" w:eastAsia="Roboto"/>
          <w:sz w:val="20"/>
          <w:szCs w:val="20"/>
        </w:rPr>
        <w:fldChar w:fldCharType="begin"/>
      </w:r>
      <w:r>
        <w:rPr>
          <w:rFonts w:hint="default" w:ascii="Roboto" w:hAnsi="Roboto" w:eastAsia="Roboto"/>
          <w:sz w:val="20"/>
          <w:szCs w:val="20"/>
        </w:rPr>
        <w:instrText xml:space="preserve"> HYPERLINK "https://doi.org/10.37811/cl_rcm.v8i5.14016" </w:instrText>
      </w:r>
      <w:r>
        <w:rPr>
          <w:rFonts w:hint="default" w:ascii="Roboto" w:hAnsi="Roboto" w:eastAsia="Roboto"/>
          <w:sz w:val="20"/>
          <w:szCs w:val="20"/>
        </w:rPr>
        <w:fldChar w:fldCharType="separate"/>
      </w:r>
      <w:r>
        <w:rPr>
          <w:rStyle w:val="10"/>
          <w:rFonts w:hint="default" w:ascii="Roboto" w:hAnsi="Roboto" w:eastAsia="Roboto"/>
          <w:sz w:val="20"/>
          <w:szCs w:val="20"/>
          <w:rtl w:val="0"/>
        </w:rPr>
        <w:t>https://doi.org/10.37811/cl_rcm.v8i5.14016</w:t>
      </w:r>
      <w:r>
        <w:rPr>
          <w:rFonts w:hint="default" w:ascii="Roboto" w:hAnsi="Roboto" w:eastAsia="Roboto"/>
          <w:sz w:val="20"/>
          <w:szCs w:val="20"/>
        </w:rPr>
        <w:fldChar w:fldCharType="end"/>
      </w:r>
    </w:p>
    <w:p w14:paraId="66E202E4">
      <w:pPr>
        <w:numPr>
          <w:ilvl w:val="0"/>
          <w:numId w:val="0"/>
        </w:numPr>
        <w:jc w:val="left"/>
        <w:rPr>
          <w:rFonts w:hint="default" w:ascii="Roboto" w:hAnsi="Roboto" w:eastAsia="Roboto"/>
          <w:sz w:val="20"/>
          <w:szCs w:val="20"/>
          <w:rtl w:val="0"/>
          <w:lang w:val="es-ES"/>
        </w:rPr>
      </w:pPr>
      <w:r>
        <w:rPr>
          <w:rFonts w:hint="default" w:ascii="Roboto" w:hAnsi="Roboto" w:eastAsia="Roboto"/>
          <w:sz w:val="20"/>
          <w:szCs w:val="20"/>
          <w:rtl w:val="0"/>
        </w:rPr>
        <w:t xml:space="preserve">Ortega-Ortega, D., Pérez-Hernández, M. G., &amp; Moreno-Tapia, J. (2023). Repercusión del estrés y ansiedad en el rendimiento académico en estudiantes de la Licenciatura en Enfermería. </w:t>
      </w:r>
      <w:r>
        <w:rPr>
          <w:rFonts w:hint="default" w:ascii="Roboto" w:hAnsi="Roboto" w:eastAsia="Roboto"/>
          <w:i/>
          <w:iCs/>
          <w:sz w:val="20"/>
          <w:szCs w:val="20"/>
          <w:rtl w:val="0"/>
        </w:rPr>
        <w:t>R</w:t>
      </w:r>
      <w:r>
        <w:rPr>
          <w:rFonts w:hint="default" w:ascii="Roboto Italic" w:hAnsi="Roboto Italic" w:eastAsia="Roboto" w:cs="Roboto Italic"/>
          <w:i/>
          <w:iCs/>
          <w:sz w:val="20"/>
          <w:szCs w:val="20"/>
          <w:rtl w:val="0"/>
        </w:rPr>
        <w:t>evista Metropolitana de Ciencias Aplicadas</w:t>
      </w:r>
      <w:r>
        <w:rPr>
          <w:rFonts w:hint="default" w:ascii="Roboto" w:hAnsi="Roboto" w:eastAsia="Roboto"/>
          <w:sz w:val="20"/>
          <w:szCs w:val="20"/>
          <w:rtl w:val="0"/>
        </w:rPr>
        <w:t xml:space="preserve">, </w:t>
      </w:r>
      <w:r>
        <w:rPr>
          <w:rFonts w:hint="default" w:ascii="Roboto Italic" w:hAnsi="Roboto Italic" w:eastAsia="Roboto" w:cs="Roboto Italic"/>
          <w:i/>
          <w:iCs/>
          <w:sz w:val="20"/>
          <w:szCs w:val="20"/>
          <w:rtl w:val="0"/>
        </w:rPr>
        <w:t>6</w:t>
      </w:r>
      <w:r>
        <w:rPr>
          <w:rFonts w:hint="default" w:ascii="Roboto" w:hAnsi="Roboto" w:eastAsia="Roboto"/>
          <w:sz w:val="20"/>
          <w:szCs w:val="20"/>
          <w:rtl w:val="0"/>
        </w:rPr>
        <w:t>(S2), 209-216.</w:t>
      </w:r>
      <w:r>
        <w:rPr>
          <w:rFonts w:hint="default" w:ascii="Roboto" w:hAnsi="Roboto" w:eastAsia="Roboto"/>
          <w:sz w:val="20"/>
          <w:szCs w:val="20"/>
          <w:rtl w:val="0"/>
          <w:lang w:val="es-ES"/>
        </w:rPr>
        <w:t xml:space="preserve"> </w:t>
      </w:r>
      <w:r>
        <w:rPr>
          <w:rFonts w:hint="default" w:ascii="Roboto" w:hAnsi="Roboto" w:eastAsia="Roboto"/>
          <w:sz w:val="20"/>
          <w:szCs w:val="20"/>
          <w:lang w:val="es-ES"/>
        </w:rPr>
        <w:fldChar w:fldCharType="begin"/>
      </w:r>
      <w:r>
        <w:rPr>
          <w:rFonts w:hint="default" w:ascii="Roboto" w:hAnsi="Roboto" w:eastAsia="Roboto"/>
          <w:sz w:val="20"/>
          <w:szCs w:val="20"/>
          <w:lang w:val="es-ES"/>
        </w:rPr>
        <w:instrText xml:space="preserve"> HYPERLINK "https://doi.org/10.62452/yw9pah50" </w:instrText>
      </w:r>
      <w:r>
        <w:rPr>
          <w:rFonts w:hint="default" w:ascii="Roboto" w:hAnsi="Roboto" w:eastAsia="Roboto"/>
          <w:sz w:val="20"/>
          <w:szCs w:val="20"/>
          <w:lang w:val="es-ES"/>
        </w:rPr>
        <w:fldChar w:fldCharType="separate"/>
      </w:r>
      <w:r>
        <w:rPr>
          <w:rStyle w:val="10"/>
          <w:rFonts w:hint="default" w:ascii="Roboto" w:hAnsi="Roboto" w:eastAsia="Roboto"/>
          <w:sz w:val="20"/>
          <w:szCs w:val="20"/>
          <w:rtl w:val="0"/>
          <w:lang w:val="es-ES"/>
        </w:rPr>
        <w:t>https://doi.org/10.62452/yw9pah50</w:t>
      </w:r>
      <w:r>
        <w:rPr>
          <w:rFonts w:hint="default" w:ascii="Roboto" w:hAnsi="Roboto" w:eastAsia="Roboto"/>
          <w:sz w:val="20"/>
          <w:szCs w:val="20"/>
          <w:lang w:val="es-ES"/>
        </w:rPr>
        <w:fldChar w:fldCharType="end"/>
      </w:r>
    </w:p>
    <w:p w14:paraId="15A98A39">
      <w:pPr>
        <w:numPr>
          <w:ilvl w:val="0"/>
          <w:numId w:val="0"/>
        </w:numPr>
        <w:jc w:val="left"/>
        <w:rPr>
          <w:rFonts w:hint="default" w:ascii="Roboto" w:hAnsi="Roboto" w:eastAsia="Roboto"/>
          <w:sz w:val="20"/>
          <w:szCs w:val="20"/>
        </w:rPr>
      </w:pPr>
      <w:r>
        <w:rPr>
          <w:rFonts w:hint="default" w:ascii="Roboto" w:hAnsi="Roboto" w:eastAsia="Roboto"/>
          <w:sz w:val="20"/>
          <w:szCs w:val="20"/>
          <w:rtl w:val="0"/>
        </w:rPr>
        <w:t xml:space="preserve">Rivera-García, A. J., Hernández-Madrigal, M., Ramírez-Flores, É., Hernández-García, P., &amp; Gamboa-Cerda, S. (2021). Evaluación de los exámenes estandarizados como predictores del desempeño académico en una universidad pública mexicana. </w:t>
      </w:r>
      <w:r>
        <w:rPr>
          <w:rFonts w:hint="default" w:ascii="Roboto" w:hAnsi="Roboto" w:eastAsia="Roboto"/>
          <w:i/>
          <w:iCs/>
          <w:sz w:val="20"/>
          <w:szCs w:val="20"/>
          <w:rtl w:val="0"/>
        </w:rPr>
        <w:t>R</w:t>
      </w:r>
      <w:r>
        <w:rPr>
          <w:rFonts w:hint="default" w:ascii="Roboto Italic" w:hAnsi="Roboto Italic" w:eastAsia="Roboto" w:cs="Roboto Italic"/>
          <w:i/>
          <w:iCs/>
          <w:sz w:val="20"/>
          <w:szCs w:val="20"/>
          <w:rtl w:val="0"/>
        </w:rPr>
        <w:t>evista Electrónica en Educación y Pedagogía</w:t>
      </w:r>
      <w:r>
        <w:rPr>
          <w:rFonts w:hint="default" w:ascii="Roboto" w:hAnsi="Roboto" w:eastAsia="Roboto"/>
          <w:sz w:val="20"/>
          <w:szCs w:val="20"/>
          <w:rtl w:val="0"/>
        </w:rPr>
        <w:t xml:space="preserve">, </w:t>
      </w:r>
      <w:r>
        <w:rPr>
          <w:rFonts w:hint="default" w:ascii="Roboto Italic" w:hAnsi="Roboto Italic" w:eastAsia="Roboto" w:cs="Roboto Italic"/>
          <w:i/>
          <w:iCs/>
          <w:sz w:val="20"/>
          <w:szCs w:val="20"/>
          <w:rtl w:val="0"/>
        </w:rPr>
        <w:t>5</w:t>
      </w:r>
      <w:r>
        <w:rPr>
          <w:rFonts w:hint="default" w:ascii="Roboto" w:hAnsi="Roboto" w:eastAsia="Roboto"/>
          <w:sz w:val="20"/>
          <w:szCs w:val="20"/>
          <w:rtl w:val="0"/>
        </w:rPr>
        <w:t xml:space="preserve">(8), 30-43. </w:t>
      </w:r>
      <w:r>
        <w:rPr>
          <w:rFonts w:hint="default" w:ascii="Roboto" w:hAnsi="Roboto" w:eastAsia="Roboto"/>
          <w:sz w:val="20"/>
          <w:szCs w:val="20"/>
        </w:rPr>
        <w:fldChar w:fldCharType="begin"/>
      </w:r>
      <w:r>
        <w:rPr>
          <w:rFonts w:hint="default" w:ascii="Roboto" w:hAnsi="Roboto" w:eastAsia="Roboto"/>
          <w:sz w:val="20"/>
          <w:szCs w:val="20"/>
        </w:rPr>
        <w:instrText xml:space="preserve"> HYPERLINK "https://doi.org/10.15658/rev.electron.educ.pedagog21.04050803" </w:instrText>
      </w:r>
      <w:r>
        <w:rPr>
          <w:rFonts w:hint="default" w:ascii="Roboto" w:hAnsi="Roboto" w:eastAsia="Roboto"/>
          <w:sz w:val="20"/>
          <w:szCs w:val="20"/>
        </w:rPr>
        <w:fldChar w:fldCharType="separate"/>
      </w:r>
      <w:r>
        <w:rPr>
          <w:rStyle w:val="10"/>
          <w:rFonts w:hint="default" w:ascii="Roboto" w:hAnsi="Roboto" w:eastAsia="Roboto"/>
          <w:sz w:val="20"/>
          <w:szCs w:val="20"/>
          <w:rtl w:val="0"/>
        </w:rPr>
        <w:t>https://doi.org/10.15658/rev.electron.educ.pedagog21.04050803</w:t>
      </w:r>
      <w:r>
        <w:rPr>
          <w:rFonts w:hint="default" w:ascii="Roboto" w:hAnsi="Roboto" w:eastAsia="Roboto"/>
          <w:sz w:val="20"/>
          <w:szCs w:val="20"/>
        </w:rPr>
        <w:fldChar w:fldCharType="end"/>
      </w:r>
    </w:p>
    <w:p w14:paraId="780A4F35">
      <w:pPr>
        <w:numPr>
          <w:ilvl w:val="0"/>
          <w:numId w:val="0"/>
        </w:numPr>
        <w:jc w:val="left"/>
        <w:rPr>
          <w:rFonts w:hint="default" w:ascii="Roboto" w:hAnsi="Roboto" w:eastAsia="Roboto"/>
          <w:sz w:val="20"/>
          <w:szCs w:val="20"/>
        </w:rPr>
      </w:pPr>
      <w:r>
        <w:rPr>
          <w:rFonts w:hint="default" w:ascii="Roboto" w:hAnsi="Roboto" w:eastAsia="Roboto"/>
          <w:sz w:val="20"/>
          <w:szCs w:val="20"/>
          <w:rtl w:val="0"/>
        </w:rPr>
        <w:t xml:space="preserve">Schmidt, S., Zlatkin-Troitschanskaia, O., &amp; Shavelson, R. J. (2023). Modeling and Measuring Domain-Specific Quantitative Reasoning in Higher Education Business and Economics. </w:t>
      </w:r>
      <w:r>
        <w:rPr>
          <w:rFonts w:hint="default" w:ascii="Roboto Italic" w:hAnsi="Roboto Italic" w:eastAsia="Roboto" w:cs="Roboto Italic"/>
          <w:i/>
          <w:iCs/>
          <w:sz w:val="20"/>
          <w:szCs w:val="20"/>
          <w:rtl w:val="0"/>
        </w:rPr>
        <w:t>Frontline Learning Research</w:t>
      </w:r>
      <w:r>
        <w:rPr>
          <w:rFonts w:hint="default" w:ascii="Roboto" w:hAnsi="Roboto" w:eastAsia="Roboto"/>
          <w:sz w:val="20"/>
          <w:szCs w:val="20"/>
          <w:rtl w:val="0"/>
        </w:rPr>
        <w:t xml:space="preserve">, </w:t>
      </w:r>
      <w:r>
        <w:rPr>
          <w:rFonts w:hint="default" w:ascii="Roboto Italic" w:hAnsi="Roboto Italic" w:eastAsia="Roboto" w:cs="Roboto Italic"/>
          <w:i/>
          <w:iCs/>
          <w:sz w:val="20"/>
          <w:szCs w:val="20"/>
          <w:rtl w:val="0"/>
        </w:rPr>
        <w:t>11</w:t>
      </w:r>
      <w:r>
        <w:rPr>
          <w:rFonts w:hint="default" w:ascii="Roboto" w:hAnsi="Roboto" w:eastAsia="Roboto"/>
          <w:sz w:val="20"/>
          <w:szCs w:val="20"/>
          <w:rtl w:val="0"/>
        </w:rPr>
        <w:t xml:space="preserve">(1), 40–56. </w:t>
      </w:r>
      <w:r>
        <w:rPr>
          <w:rFonts w:hint="default" w:ascii="Roboto" w:hAnsi="Roboto" w:eastAsia="Roboto"/>
          <w:sz w:val="20"/>
          <w:szCs w:val="20"/>
        </w:rPr>
        <w:fldChar w:fldCharType="begin"/>
      </w:r>
      <w:r>
        <w:rPr>
          <w:rFonts w:hint="default" w:ascii="Roboto" w:hAnsi="Roboto" w:eastAsia="Roboto"/>
          <w:sz w:val="20"/>
          <w:szCs w:val="20"/>
        </w:rPr>
        <w:instrText xml:space="preserve"> HYPERLINK "https://doi.org/10.14786/flr.v11i1.1070" </w:instrText>
      </w:r>
      <w:r>
        <w:rPr>
          <w:rFonts w:hint="default" w:ascii="Roboto" w:hAnsi="Roboto" w:eastAsia="Roboto"/>
          <w:sz w:val="20"/>
          <w:szCs w:val="20"/>
        </w:rPr>
        <w:fldChar w:fldCharType="separate"/>
      </w:r>
      <w:r>
        <w:rPr>
          <w:rStyle w:val="10"/>
          <w:rFonts w:hint="default" w:ascii="Roboto" w:hAnsi="Roboto" w:eastAsia="Roboto"/>
          <w:sz w:val="20"/>
          <w:szCs w:val="20"/>
          <w:rtl w:val="0"/>
        </w:rPr>
        <w:t>https://doi.org/10.14786/flr.v11i1.1070</w:t>
      </w:r>
      <w:r>
        <w:rPr>
          <w:rFonts w:hint="default" w:ascii="Roboto" w:hAnsi="Roboto" w:eastAsia="Roboto"/>
          <w:sz w:val="20"/>
          <w:szCs w:val="20"/>
        </w:rPr>
        <w:fldChar w:fldCharType="end"/>
      </w:r>
    </w:p>
    <w:p w14:paraId="1F43A0CE">
      <w:pPr>
        <w:numPr>
          <w:ilvl w:val="0"/>
          <w:numId w:val="0"/>
        </w:numPr>
        <w:jc w:val="left"/>
        <w:rPr>
          <w:rFonts w:hint="default" w:ascii="Roboto" w:hAnsi="Roboto" w:eastAsia="Roboto"/>
          <w:sz w:val="20"/>
          <w:szCs w:val="20"/>
          <w:rtl w:val="0"/>
          <w:lang w:val="es-ES"/>
        </w:rPr>
      </w:pPr>
      <w:r>
        <w:rPr>
          <w:rFonts w:hint="default" w:ascii="Roboto" w:hAnsi="Roboto" w:eastAsia="Roboto"/>
          <w:sz w:val="20"/>
          <w:szCs w:val="20"/>
          <w:rtl w:val="0"/>
          <w:lang w:val="es-ES"/>
        </w:rPr>
        <w:t xml:space="preserve">Strate, L. (2017). </w:t>
      </w:r>
      <w:r>
        <w:rPr>
          <w:rFonts w:hint="default" w:ascii="Roboto Italic" w:hAnsi="Roboto Italic" w:eastAsia="Roboto" w:cs="Roboto Italic"/>
          <w:i/>
          <w:iCs/>
          <w:sz w:val="20"/>
          <w:szCs w:val="20"/>
          <w:rtl w:val="0"/>
        </w:rPr>
        <w:t>Media Ecology: An Approach to Understanding the Human Condition</w:t>
      </w:r>
      <w:r>
        <w:rPr>
          <w:rFonts w:hint="default" w:ascii="Roboto" w:hAnsi="Roboto" w:eastAsia="Roboto"/>
          <w:sz w:val="20"/>
          <w:szCs w:val="20"/>
          <w:rtl w:val="0"/>
          <w:lang w:val="es-ES"/>
        </w:rPr>
        <w:t>. Peter Lang.</w:t>
      </w:r>
    </w:p>
    <w:sectPr>
      <w:type w:val="continuous"/>
      <w:pgSz w:w="11906" w:h="16838"/>
      <w:pgMar w:top="1134" w:right="851" w:bottom="1134" w:left="851" w:header="357" w:footer="720" w:gutter="0"/>
      <w:cols w:equalWidth="0" w:num="2">
        <w:col w:w="4934" w:space="335"/>
        <w:col w:w="4934"/>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altName w:val="汉仪书宋二KW"/>
    <w:panose1 w:val="00000000000000000000"/>
    <w:charset w:val="86"/>
    <w:family w:val="auto"/>
    <w:pitch w:val="default"/>
    <w:sig w:usb0="00000000" w:usb1="00000000" w:usb2="00000000" w:usb3="00000000" w:csb0="00000000" w:csb1="00000000"/>
  </w:font>
  <w:font w:name="Arial">
    <w:panose1 w:val="020B0604020202090204"/>
    <w:charset w:val="00"/>
    <w:family w:val="swiss"/>
    <w:pitch w:val="default"/>
    <w:sig w:usb0="E0000AFF" w:usb1="00007843" w:usb2="00000001" w:usb3="00000000" w:csb0="400001BF" w:csb1="DFF70000"/>
  </w:font>
  <w:font w:name="Courier New">
    <w:panose1 w:val="02070409020205090404"/>
    <w:charset w:val="00"/>
    <w:family w:val="modern"/>
    <w:pitch w:val="default"/>
    <w:sig w:usb0="E0000AFF" w:usb1="40007843" w:usb2="00000001" w:usb3="00000000" w:csb0="400001BF" w:csb1="DFF70000"/>
  </w:font>
  <w:font w:name="SimHei">
    <w:altName w:val="汉仪中黑KW"/>
    <w:panose1 w:val="02010609060101010101"/>
    <w:charset w:val="00"/>
    <w:family w:val="modern"/>
    <w:pitch w:val="default"/>
    <w:sig w:usb0="800002BF" w:usb1="38CF7CFA" w:usb2="00000016" w:usb3="00000000" w:csb0="00040001" w:csb1="00000000"/>
  </w:font>
  <w:font w:name="Wingdings">
    <w:panose1 w:val="05000000000000000000"/>
    <w:charset w:val="00"/>
    <w:family w:val="auto"/>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SimSun">
    <w:altName w:val="汉仪书宋二KW"/>
    <w:panose1 w:val="02010600030101010101"/>
    <w:charset w:val="86"/>
    <w:family w:val="auto"/>
    <w:pitch w:val="default"/>
    <w:sig w:usb0="00000000" w:usb1="00000000" w:usb2="00000016" w:usb3="00000000" w:csb0="00040001" w:csb1="00000000"/>
  </w:font>
  <w:font w:name="等线">
    <w:altName w:val="汉仪中等线KW"/>
    <w:panose1 w:val="00000000000000000000"/>
    <w:charset w:val="86"/>
    <w:family w:val="auto"/>
    <w:pitch w:val="default"/>
    <w:sig w:usb0="00000000" w:usb1="00000000" w:usb2="00000000" w:usb3="00000000" w:csb0="00000000" w:csb1="00000000"/>
  </w:font>
  <w:font w:name="等线">
    <w:altName w:val="汉仪中等线KW"/>
    <w:panose1 w:val="00000000000000000000"/>
    <w:charset w:val="86"/>
    <w:family w:val="auto"/>
    <w:pitch w:val="default"/>
    <w:sig w:usb0="00000000" w:usb1="00000000" w:usb2="00000000" w:usb3="00000000" w:csb0="00000000" w:csb1="00000000"/>
  </w:font>
  <w:font w:name="Georgia">
    <w:panose1 w:val="02040502050405090303"/>
    <w:charset w:val="00"/>
    <w:family w:val="auto"/>
    <w:pitch w:val="default"/>
    <w:sig w:usb0="00000287" w:usb1="00000000" w:usb2="00000000" w:usb3="00000000" w:csb0="2000009F" w:csb1="00000000"/>
  </w:font>
  <w:font w:name="Roboto">
    <w:panose1 w:val="02000000000000000000"/>
    <w:charset w:val="00"/>
    <w:family w:val="auto"/>
    <w:pitch w:val="default"/>
    <w:sig w:usb0="E00002FF" w:usb1="5000205B" w:usb2="00000020" w:usb3="00000000" w:csb0="2000019F" w:csb1="00000000"/>
  </w:font>
  <w:font w:name="Roboto Italic">
    <w:panose1 w:val="02000000000000000000"/>
    <w:charset w:val="00"/>
    <w:family w:val="auto"/>
    <w:pitch w:val="default"/>
    <w:sig w:usb0="E00002FF" w:usb1="5000205B" w:usb2="00000020" w:usb3="00000000" w:csb0="2000019F" w:csb1="00000000"/>
  </w:font>
  <w:font w:name="Roboto Regular">
    <w:panose1 w:val="02000000000000000000"/>
    <w:charset w:val="00"/>
    <w:family w:val="auto"/>
    <w:pitch w:val="default"/>
    <w:sig w:usb0="E00002FF" w:usb1="5000205B" w:usb2="00000020" w:usb3="00000000" w:csb0="2000019F" w:csb1="00000000"/>
  </w:font>
  <w:font w:name="等线">
    <w:altName w:val="汉仪中等线KW"/>
    <w:panose1 w:val="00000000000000000000"/>
    <w:charset w:val="00"/>
    <w:family w:val="auto"/>
    <w:pitch w:val="default"/>
    <w:sig w:usb0="00000000" w:usb1="00000000" w:usb2="00000000" w:usb3="00000000" w:csb0="00000000" w:csb1="00000000"/>
  </w:font>
  <w:font w:name="汉仪中等线KW">
    <w:panose1 w:val="01010104010101010101"/>
    <w:charset w:val="86"/>
    <w:family w:val="auto"/>
    <w:pitch w:val="default"/>
    <w:sig w:usb0="800002BF" w:usb1="004F7CFA" w:usb2="00000000" w:usb3="00000000" w:csb0="00040001"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00002B">
    <w:pPr>
      <w:widowControl w:val="0"/>
      <w:pBdr>
        <w:top w:val="none" w:color="auto" w:sz="0" w:space="0"/>
        <w:left w:val="none" w:color="auto" w:sz="0" w:space="0"/>
        <w:bottom w:val="none" w:color="auto" w:sz="0" w:space="0"/>
        <w:right w:val="none" w:color="auto" w:sz="0" w:space="0"/>
        <w:between w:val="none" w:color="auto" w:sz="0" w:space="0"/>
      </w:pBdr>
      <w:spacing w:line="276" w:lineRule="auto"/>
      <w:rPr>
        <w:rFonts w:ascii="Roboto" w:hAnsi="Roboto" w:eastAsia="Roboto" w:cs="Roboto"/>
      </w:rPr>
    </w:pPr>
  </w:p>
  <w:tbl>
    <w:tblPr>
      <w:tblStyle w:val="26"/>
      <w:tblW w:w="6306" w:type="dxa"/>
      <w:jc w:val="center"/>
      <w:tblLayout w:type="fixed"/>
      <w:tblCellMar>
        <w:top w:w="0" w:type="dxa"/>
        <w:left w:w="115" w:type="dxa"/>
        <w:bottom w:w="0" w:type="dxa"/>
        <w:right w:w="115" w:type="dxa"/>
      </w:tblCellMar>
    </w:tblPr>
    <w:tblGrid>
      <w:gridCol w:w="6306"/>
    </w:tblGrid>
    <w:tr w14:paraId="420BF13A">
      <w:trPr>
        <w:trHeight w:val="345" w:hRule="atLeast"/>
        <w:jc w:val="center"/>
      </w:trPr>
      <w:tc>
        <w:tcPr>
          <w:vAlign w:val="center"/>
        </w:tcPr>
        <w:p w14:paraId="0000002C">
          <w:pPr>
            <w:jc w:val="center"/>
            <w:rPr>
              <w:i/>
              <w:sz w:val="18"/>
              <w:szCs w:val="18"/>
            </w:rPr>
          </w:pPr>
        </w:p>
      </w:tc>
    </w:tr>
  </w:tbl>
  <w:p w14:paraId="0000002D">
    <w:pPr>
      <w:pBdr>
        <w:top w:val="none" w:color="auto" w:sz="0" w:space="0"/>
        <w:left w:val="none" w:color="auto" w:sz="0" w:space="0"/>
        <w:bottom w:val="none" w:color="auto" w:sz="0" w:space="0"/>
        <w:right w:val="none" w:color="auto" w:sz="0" w:space="0"/>
        <w:between w:val="none" w:color="auto" w:sz="0" w:space="0"/>
      </w:pBdr>
      <w:tabs>
        <w:tab w:val="center" w:pos="4320"/>
        <w:tab w:val="right" w:pos="8640"/>
      </w:tabs>
      <w:rPr>
        <w:rFonts w:ascii="Calibri" w:hAnsi="Calibri" w:eastAsia="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cumentProtection w:enforcement="0"/>
  <w:defaultTabStop w:val="720"/>
  <w:compat>
    <w:compatSetting w:name="compatibilityMode" w:uri="http://schemas.microsoft.com/office/word" w:val="15"/>
  </w:compat>
  <w:rsids>
    <w:rsidRoot w:val="00000000"/>
    <w:rsid w:val="0D7F5191"/>
    <w:rsid w:val="13D9FBF3"/>
    <w:rsid w:val="1EBE0A2D"/>
    <w:rsid w:val="1F376EA1"/>
    <w:rsid w:val="1FF5CAC4"/>
    <w:rsid w:val="1FFC8557"/>
    <w:rsid w:val="23DF0897"/>
    <w:rsid w:val="29E3CC0F"/>
    <w:rsid w:val="2B6F1907"/>
    <w:rsid w:val="2EFF3FEE"/>
    <w:rsid w:val="2FDEE89B"/>
    <w:rsid w:val="337F3A28"/>
    <w:rsid w:val="35F7A728"/>
    <w:rsid w:val="36FCE8B6"/>
    <w:rsid w:val="374B6281"/>
    <w:rsid w:val="37DEA94D"/>
    <w:rsid w:val="38DFCD44"/>
    <w:rsid w:val="39CEF341"/>
    <w:rsid w:val="3ADF61CE"/>
    <w:rsid w:val="3B2C8B0D"/>
    <w:rsid w:val="3BEB156F"/>
    <w:rsid w:val="3CF8DBEB"/>
    <w:rsid w:val="3D4B6204"/>
    <w:rsid w:val="3EADA03D"/>
    <w:rsid w:val="3EE9BE47"/>
    <w:rsid w:val="3FBB742D"/>
    <w:rsid w:val="3FD56E3C"/>
    <w:rsid w:val="3FD5FFD9"/>
    <w:rsid w:val="3FECE172"/>
    <w:rsid w:val="3FFF22E2"/>
    <w:rsid w:val="3FFF8A33"/>
    <w:rsid w:val="42BE1A66"/>
    <w:rsid w:val="435CC1D0"/>
    <w:rsid w:val="47770258"/>
    <w:rsid w:val="47DE56C7"/>
    <w:rsid w:val="47FF2CF0"/>
    <w:rsid w:val="4B7590E2"/>
    <w:rsid w:val="4BCF1C39"/>
    <w:rsid w:val="4BF7D205"/>
    <w:rsid w:val="4CFAE4DC"/>
    <w:rsid w:val="4DBBA273"/>
    <w:rsid w:val="4DBE6C6C"/>
    <w:rsid w:val="4F2F3C66"/>
    <w:rsid w:val="4F7F4455"/>
    <w:rsid w:val="4FB21535"/>
    <w:rsid w:val="4FFCC92B"/>
    <w:rsid w:val="53CFDEF7"/>
    <w:rsid w:val="567F11F9"/>
    <w:rsid w:val="577F4DA8"/>
    <w:rsid w:val="57BBB30C"/>
    <w:rsid w:val="587E0E62"/>
    <w:rsid w:val="59272662"/>
    <w:rsid w:val="5A6367AF"/>
    <w:rsid w:val="5A6FFA2B"/>
    <w:rsid w:val="5AFBFFA7"/>
    <w:rsid w:val="5BDF44A6"/>
    <w:rsid w:val="5C51B4D8"/>
    <w:rsid w:val="5C9E34E2"/>
    <w:rsid w:val="5CBB3FC0"/>
    <w:rsid w:val="5D7D5959"/>
    <w:rsid w:val="5FCF3231"/>
    <w:rsid w:val="5FE616DE"/>
    <w:rsid w:val="5FEDCA73"/>
    <w:rsid w:val="5FEFB92C"/>
    <w:rsid w:val="5FFDC84C"/>
    <w:rsid w:val="65430D93"/>
    <w:rsid w:val="65C74465"/>
    <w:rsid w:val="65DEAD6F"/>
    <w:rsid w:val="669E7FE6"/>
    <w:rsid w:val="67DC46F4"/>
    <w:rsid w:val="6ACF97C6"/>
    <w:rsid w:val="6ADA94C6"/>
    <w:rsid w:val="6BD7CB68"/>
    <w:rsid w:val="6BE7388B"/>
    <w:rsid w:val="6BF53904"/>
    <w:rsid w:val="6CFBE346"/>
    <w:rsid w:val="6D67A76F"/>
    <w:rsid w:val="6F5F3C53"/>
    <w:rsid w:val="6FDF480C"/>
    <w:rsid w:val="6FE2EF3B"/>
    <w:rsid w:val="71FE0262"/>
    <w:rsid w:val="737E1B16"/>
    <w:rsid w:val="737F3337"/>
    <w:rsid w:val="73BFD043"/>
    <w:rsid w:val="73FB8A23"/>
    <w:rsid w:val="747D1705"/>
    <w:rsid w:val="747FACE9"/>
    <w:rsid w:val="757FD9F8"/>
    <w:rsid w:val="75ADDA0F"/>
    <w:rsid w:val="75ED49C4"/>
    <w:rsid w:val="75FFAF2E"/>
    <w:rsid w:val="75FFFC4C"/>
    <w:rsid w:val="767BAF28"/>
    <w:rsid w:val="76F241F5"/>
    <w:rsid w:val="76FEBC21"/>
    <w:rsid w:val="7751E8BA"/>
    <w:rsid w:val="776BCD83"/>
    <w:rsid w:val="7779DB86"/>
    <w:rsid w:val="777F0B98"/>
    <w:rsid w:val="77A779D4"/>
    <w:rsid w:val="77FF2D69"/>
    <w:rsid w:val="77FFD2C8"/>
    <w:rsid w:val="79D94605"/>
    <w:rsid w:val="79DF8466"/>
    <w:rsid w:val="7A330B3B"/>
    <w:rsid w:val="7B7F22F6"/>
    <w:rsid w:val="7BF33E88"/>
    <w:rsid w:val="7BF9C86C"/>
    <w:rsid w:val="7BFBA819"/>
    <w:rsid w:val="7BFC9CE4"/>
    <w:rsid w:val="7BFDC016"/>
    <w:rsid w:val="7BFDF75E"/>
    <w:rsid w:val="7CBB5F85"/>
    <w:rsid w:val="7DDE86D9"/>
    <w:rsid w:val="7DDF3BE6"/>
    <w:rsid w:val="7E7B83B1"/>
    <w:rsid w:val="7E7FAA38"/>
    <w:rsid w:val="7ECDC8CA"/>
    <w:rsid w:val="7EDF81DE"/>
    <w:rsid w:val="7EFBCF23"/>
    <w:rsid w:val="7EFF0500"/>
    <w:rsid w:val="7EFF34D4"/>
    <w:rsid w:val="7F4B030F"/>
    <w:rsid w:val="7F4CF70B"/>
    <w:rsid w:val="7F4F5A45"/>
    <w:rsid w:val="7F5406C8"/>
    <w:rsid w:val="7F74070B"/>
    <w:rsid w:val="7F9E4BDE"/>
    <w:rsid w:val="7F9F9C25"/>
    <w:rsid w:val="7FCF55D9"/>
    <w:rsid w:val="7FCF77CE"/>
    <w:rsid w:val="7FEFC216"/>
    <w:rsid w:val="7FF731CB"/>
    <w:rsid w:val="7FF8C216"/>
    <w:rsid w:val="7FFA4274"/>
    <w:rsid w:val="7FFF4129"/>
    <w:rsid w:val="7FFFFCEA"/>
    <w:rsid w:val="8C771E90"/>
    <w:rsid w:val="8F7F83A8"/>
    <w:rsid w:val="8FDB85E9"/>
    <w:rsid w:val="97BF9622"/>
    <w:rsid w:val="97F881A9"/>
    <w:rsid w:val="9D7AD4B4"/>
    <w:rsid w:val="9D7BA12D"/>
    <w:rsid w:val="9D9FD883"/>
    <w:rsid w:val="9DDD0F22"/>
    <w:rsid w:val="9F264A6A"/>
    <w:rsid w:val="9FDF1B27"/>
    <w:rsid w:val="9FEE841D"/>
    <w:rsid w:val="9FFD087E"/>
    <w:rsid w:val="A56F35BF"/>
    <w:rsid w:val="A7F793C9"/>
    <w:rsid w:val="AB7E5891"/>
    <w:rsid w:val="ABFD553B"/>
    <w:rsid w:val="ACDED434"/>
    <w:rsid w:val="AD7E36FB"/>
    <w:rsid w:val="AFDF056A"/>
    <w:rsid w:val="AFEFCA2E"/>
    <w:rsid w:val="B3FF0471"/>
    <w:rsid w:val="B54FC2DA"/>
    <w:rsid w:val="B5B31F5F"/>
    <w:rsid w:val="B5CB3699"/>
    <w:rsid w:val="B5FB7814"/>
    <w:rsid w:val="B785213B"/>
    <w:rsid w:val="B8DB3217"/>
    <w:rsid w:val="B9770C88"/>
    <w:rsid w:val="B97D0ABB"/>
    <w:rsid w:val="B9D73403"/>
    <w:rsid w:val="B9F645D1"/>
    <w:rsid w:val="BB7D39A9"/>
    <w:rsid w:val="BB8F5AAF"/>
    <w:rsid w:val="BBAFD09C"/>
    <w:rsid w:val="BBD541E3"/>
    <w:rsid w:val="BBEF5CBD"/>
    <w:rsid w:val="BC3F4DD8"/>
    <w:rsid w:val="BCCF810A"/>
    <w:rsid w:val="BDEBD7B4"/>
    <w:rsid w:val="BDF7F09C"/>
    <w:rsid w:val="BEFBF4CD"/>
    <w:rsid w:val="BF7F9B50"/>
    <w:rsid w:val="BFBFA609"/>
    <w:rsid w:val="BFEC4C32"/>
    <w:rsid w:val="BFEE7B63"/>
    <w:rsid w:val="BFF6ACE8"/>
    <w:rsid w:val="BFFE0070"/>
    <w:rsid w:val="C4DBAEAF"/>
    <w:rsid w:val="C78F4E9B"/>
    <w:rsid w:val="C7FEB0CE"/>
    <w:rsid w:val="C9AB60E5"/>
    <w:rsid w:val="CBF97D10"/>
    <w:rsid w:val="CBFF6601"/>
    <w:rsid w:val="CDFF038F"/>
    <w:rsid w:val="CECB3DEA"/>
    <w:rsid w:val="CEEDF9DF"/>
    <w:rsid w:val="D6FF1BB8"/>
    <w:rsid w:val="D73F93EC"/>
    <w:rsid w:val="D7BF5AF2"/>
    <w:rsid w:val="D8CFA4BA"/>
    <w:rsid w:val="D9ED4B45"/>
    <w:rsid w:val="D9EFD577"/>
    <w:rsid w:val="D9FBAC83"/>
    <w:rsid w:val="DBBF33CD"/>
    <w:rsid w:val="DC0FF6B0"/>
    <w:rsid w:val="DCF3F8F9"/>
    <w:rsid w:val="DCFF901E"/>
    <w:rsid w:val="DE9FB697"/>
    <w:rsid w:val="DECDD434"/>
    <w:rsid w:val="DEDC64C1"/>
    <w:rsid w:val="DF4BFD03"/>
    <w:rsid w:val="DF66AFA6"/>
    <w:rsid w:val="DF7AA60A"/>
    <w:rsid w:val="DFB64CA4"/>
    <w:rsid w:val="DFBB510A"/>
    <w:rsid w:val="DFFFAB76"/>
    <w:rsid w:val="E5F49069"/>
    <w:rsid w:val="E6FFB964"/>
    <w:rsid w:val="E7DF7DB3"/>
    <w:rsid w:val="E7F120CE"/>
    <w:rsid w:val="E9FE8313"/>
    <w:rsid w:val="EAEAB9A4"/>
    <w:rsid w:val="EB79214F"/>
    <w:rsid w:val="EBF378C3"/>
    <w:rsid w:val="EBF74580"/>
    <w:rsid w:val="EBFE1793"/>
    <w:rsid w:val="ED6E40C9"/>
    <w:rsid w:val="EDD70132"/>
    <w:rsid w:val="EEFFD46B"/>
    <w:rsid w:val="EF5F8719"/>
    <w:rsid w:val="EF796AD1"/>
    <w:rsid w:val="EFAF16A9"/>
    <w:rsid w:val="EFDC5223"/>
    <w:rsid w:val="EFE7CE96"/>
    <w:rsid w:val="EFE95D1B"/>
    <w:rsid w:val="EFF5F249"/>
    <w:rsid w:val="EFFBCBE7"/>
    <w:rsid w:val="EFFE4036"/>
    <w:rsid w:val="EFFF369E"/>
    <w:rsid w:val="EFFF4AEB"/>
    <w:rsid w:val="F1BEC949"/>
    <w:rsid w:val="F37B5D43"/>
    <w:rsid w:val="F3FF1952"/>
    <w:rsid w:val="F3FFE8C7"/>
    <w:rsid w:val="F5CD6B0E"/>
    <w:rsid w:val="F5EF38BC"/>
    <w:rsid w:val="F5FB9B3D"/>
    <w:rsid w:val="F6CFEACA"/>
    <w:rsid w:val="F6F71CB9"/>
    <w:rsid w:val="F6FBF5EE"/>
    <w:rsid w:val="F75B3150"/>
    <w:rsid w:val="F77A0086"/>
    <w:rsid w:val="F7BF4E8E"/>
    <w:rsid w:val="F7BF8F25"/>
    <w:rsid w:val="F7DDD085"/>
    <w:rsid w:val="F7F104FE"/>
    <w:rsid w:val="F7F7E364"/>
    <w:rsid w:val="F967ADBB"/>
    <w:rsid w:val="F9AFB82E"/>
    <w:rsid w:val="F9BEDF23"/>
    <w:rsid w:val="F9F23360"/>
    <w:rsid w:val="FA9D797C"/>
    <w:rsid w:val="FB5735EB"/>
    <w:rsid w:val="FB6BCCBC"/>
    <w:rsid w:val="FB9525D5"/>
    <w:rsid w:val="FBEBCE5E"/>
    <w:rsid w:val="FBED7700"/>
    <w:rsid w:val="FBFE6163"/>
    <w:rsid w:val="FCDF16A9"/>
    <w:rsid w:val="FCEBEDF2"/>
    <w:rsid w:val="FD1F6748"/>
    <w:rsid w:val="FD6F9A6B"/>
    <w:rsid w:val="FDCB7AFE"/>
    <w:rsid w:val="FDCF1D9B"/>
    <w:rsid w:val="FDCF7DFD"/>
    <w:rsid w:val="FDDCFD22"/>
    <w:rsid w:val="FDFF0DEE"/>
    <w:rsid w:val="FE57FF6F"/>
    <w:rsid w:val="FE7571F1"/>
    <w:rsid w:val="FE77A37A"/>
    <w:rsid w:val="FED76569"/>
    <w:rsid w:val="FEE2D1E8"/>
    <w:rsid w:val="FEE7C190"/>
    <w:rsid w:val="FEF2307D"/>
    <w:rsid w:val="FEFD9936"/>
    <w:rsid w:val="FEFF040C"/>
    <w:rsid w:val="FF7BB6EA"/>
    <w:rsid w:val="FF970C56"/>
    <w:rsid w:val="FF9D5848"/>
    <w:rsid w:val="FFB7EF39"/>
    <w:rsid w:val="FFCA13EC"/>
    <w:rsid w:val="FFCF9533"/>
    <w:rsid w:val="FFCFEE05"/>
    <w:rsid w:val="FFD42E6C"/>
    <w:rsid w:val="FFD91C7B"/>
    <w:rsid w:val="FFDC485D"/>
    <w:rsid w:val="FFDFDF7D"/>
    <w:rsid w:val="FFE39539"/>
    <w:rsid w:val="FFEB11CC"/>
    <w:rsid w:val="FFF55E66"/>
    <w:rsid w:val="FFF6E110"/>
    <w:rsid w:val="FFF7CD04"/>
    <w:rsid w:val="FFFA3852"/>
    <w:rsid w:val="FFFBF482"/>
    <w:rsid w:val="FFFBF940"/>
    <w:rsid w:val="FFFF5316"/>
    <w:rsid w:val="FFFFE81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iPriority="99" w:semiHidden="0" w:name="header"/>
    <w:lsdException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atentStyles>
  <w:style w:type="paragraph" w:default="1" w:styleId="1">
    <w:name w:val="Normal"/>
    <w:uiPriority w:val="0"/>
    <w:rPr>
      <w:rFonts w:asciiTheme="minorHAnsi" w:hAnsiTheme="minorHAnsi" w:eastAsiaTheme="minorEastAsia" w:cstheme="minorBidi"/>
      <w:sz w:val="24"/>
      <w:szCs w:val="24"/>
      <w:lang w:val="es-MX"/>
    </w:rPr>
  </w:style>
  <w:style w:type="paragraph" w:styleId="2">
    <w:name w:val="heading 1"/>
    <w:basedOn w:val="1"/>
    <w:next w:val="1"/>
    <w:uiPriority w:val="0"/>
    <w:pPr>
      <w:keepNext/>
      <w:keepLines/>
      <w:spacing w:before="480" w:after="120"/>
    </w:pPr>
    <w:rPr>
      <w:b/>
      <w:sz w:val="48"/>
      <w:szCs w:val="48"/>
    </w:rPr>
  </w:style>
  <w:style w:type="paragraph" w:styleId="3">
    <w:name w:val="heading 2"/>
    <w:basedOn w:val="1"/>
    <w:next w:val="1"/>
    <w:uiPriority w:val="0"/>
    <w:pPr>
      <w:keepNext/>
      <w:keepLines/>
      <w:spacing w:before="360" w:after="80"/>
    </w:pPr>
    <w:rPr>
      <w:b/>
      <w:sz w:val="36"/>
      <w:szCs w:val="36"/>
    </w:rPr>
  </w:style>
  <w:style w:type="paragraph" w:styleId="4">
    <w:name w:val="heading 3"/>
    <w:basedOn w:val="1"/>
    <w:next w:val="1"/>
    <w:uiPriority w:val="0"/>
    <w:pPr>
      <w:keepNext/>
      <w:keepLines/>
      <w:spacing w:before="280" w:after="80"/>
    </w:pPr>
    <w:rPr>
      <w:b/>
      <w:sz w:val="28"/>
      <w:szCs w:val="28"/>
    </w:rPr>
  </w:style>
  <w:style w:type="paragraph" w:styleId="5">
    <w:name w:val="heading 4"/>
    <w:basedOn w:val="1"/>
    <w:next w:val="1"/>
    <w:uiPriority w:val="0"/>
    <w:pPr>
      <w:keepNext/>
      <w:keepLines/>
      <w:spacing w:before="240" w:after="40"/>
    </w:pPr>
    <w:rPr>
      <w:b/>
    </w:rPr>
  </w:style>
  <w:style w:type="paragraph" w:styleId="6">
    <w:name w:val="heading 5"/>
    <w:basedOn w:val="1"/>
    <w:next w:val="1"/>
    <w:uiPriority w:val="0"/>
    <w:pPr>
      <w:keepNext/>
      <w:keepLines/>
      <w:spacing w:before="220" w:after="40"/>
    </w:pPr>
    <w:rPr>
      <w:b/>
      <w:sz w:val="22"/>
      <w:szCs w:val="22"/>
    </w:rPr>
  </w:style>
  <w:style w:type="paragraph" w:styleId="7">
    <w:name w:val="heading 6"/>
    <w:basedOn w:val="1"/>
    <w:next w:val="1"/>
    <w:uiPriority w:val="0"/>
    <w:pPr>
      <w:keepNext/>
      <w:keepLines/>
      <w:spacing w:before="200" w:after="40"/>
    </w:pPr>
    <w:rPr>
      <w:b/>
      <w:sz w:val="20"/>
      <w:szCs w:val="20"/>
    </w:rPr>
  </w:style>
  <w:style w:type="character" w:default="1" w:styleId="8">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character" w:styleId="10">
    <w:name w:val="Hyperlink"/>
    <w:basedOn w:val="8"/>
    <w:unhideWhenUsed/>
    <w:uiPriority w:val="99"/>
    <w:rPr>
      <w:color w:val="0563C1" w:themeColor="hyperlink"/>
      <w:u w:val="single"/>
      <w14:textFill>
        <w14:solidFill>
          <w14:schemeClr w14:val="hlink"/>
        </w14:solidFill>
      </w14:textFill>
    </w:rPr>
  </w:style>
  <w:style w:type="paragraph" w:styleId="11">
    <w:name w:val="annotation text"/>
    <w:basedOn w:val="1"/>
    <w:link w:val="20"/>
    <w:uiPriority w:val="0"/>
    <w:rPr>
      <w:sz w:val="20"/>
      <w:szCs w:val="20"/>
    </w:rPr>
  </w:style>
  <w:style w:type="paragraph" w:styleId="12">
    <w:name w:val="header"/>
    <w:basedOn w:val="1"/>
    <w:link w:val="17"/>
    <w:unhideWhenUsed/>
    <w:uiPriority w:val="99"/>
    <w:pPr>
      <w:tabs>
        <w:tab w:val="center" w:pos="4320"/>
        <w:tab w:val="right" w:pos="8640"/>
      </w:tabs>
    </w:pPr>
    <w:rPr>
      <w:rFonts w:asciiTheme="minorHAnsi" w:hAnsiTheme="minorHAnsi" w:eastAsiaTheme="minorHAnsi" w:cstheme="minorBidi"/>
      <w:sz w:val="22"/>
      <w:szCs w:val="22"/>
      <w:lang w:val="en-US"/>
    </w:rPr>
  </w:style>
  <w:style w:type="paragraph" w:styleId="13">
    <w:name w:val="footer"/>
    <w:basedOn w:val="1"/>
    <w:link w:val="21"/>
    <w:unhideWhenUsed/>
    <w:uiPriority w:val="99"/>
    <w:pPr>
      <w:tabs>
        <w:tab w:val="center" w:pos="4419"/>
        <w:tab w:val="right" w:pos="8838"/>
      </w:tabs>
    </w:pPr>
  </w:style>
  <w:style w:type="paragraph" w:styleId="14">
    <w:name w:val="Subtitle"/>
    <w:basedOn w:val="1"/>
    <w:next w:val="1"/>
    <w:uiPriority w:val="0"/>
    <w:pPr>
      <w:keepNext/>
      <w:keepLines/>
      <w:spacing w:before="360" w:after="80"/>
    </w:pPr>
    <w:rPr>
      <w:rFonts w:ascii="Georgia" w:hAnsi="Georgia" w:eastAsia="Georgia" w:cs="Georgia"/>
      <w:i/>
      <w:color w:val="666666"/>
      <w:sz w:val="48"/>
      <w:szCs w:val="48"/>
    </w:rPr>
  </w:style>
  <w:style w:type="paragraph" w:styleId="15">
    <w:name w:val="Title"/>
    <w:basedOn w:val="1"/>
    <w:next w:val="1"/>
    <w:uiPriority w:val="0"/>
    <w:pPr>
      <w:keepNext/>
      <w:keepLines/>
      <w:spacing w:before="480" w:after="120"/>
    </w:pPr>
    <w:rPr>
      <w:b/>
      <w:sz w:val="72"/>
      <w:szCs w:val="72"/>
    </w:rPr>
  </w:style>
  <w:style w:type="table" w:customStyle="1" w:styleId="16">
    <w:name w:val="TableNormal"/>
    <w:uiPriority w:val="0"/>
    <w:tblPr>
      <w:tblCellMar>
        <w:top w:w="100" w:type="dxa"/>
        <w:left w:w="100" w:type="dxa"/>
        <w:bottom w:w="100" w:type="dxa"/>
        <w:right w:w="100" w:type="dxa"/>
      </w:tblCellMar>
    </w:tblPr>
  </w:style>
  <w:style w:type="character" w:customStyle="1" w:styleId="17">
    <w:name w:val="Encabezado Car"/>
    <w:basedOn w:val="8"/>
    <w:link w:val="12"/>
    <w:uiPriority w:val="99"/>
    <w:rPr>
      <w:lang w:val="en-US"/>
    </w:rPr>
  </w:style>
  <w:style w:type="paragraph" w:customStyle="1" w:styleId="18">
    <w:name w:val="AUTHORS NAMES"/>
    <w:basedOn w:val="1"/>
    <w:qFormat/>
    <w:uiPriority w:val="0"/>
    <w:pPr>
      <w:spacing w:before="120" w:after="120" w:line="240" w:lineRule="atLeast"/>
    </w:pPr>
    <w:rPr>
      <w:b/>
      <w:sz w:val="22"/>
      <w:szCs w:val="20"/>
    </w:rPr>
  </w:style>
  <w:style w:type="paragraph" w:customStyle="1" w:styleId="19">
    <w:name w:val="AFFILIATIONS"/>
    <w:basedOn w:val="1"/>
    <w:qFormat/>
    <w:uiPriority w:val="0"/>
    <w:pPr>
      <w:spacing w:line="240" w:lineRule="atLeast"/>
    </w:pPr>
    <w:rPr>
      <w:sz w:val="18"/>
      <w:szCs w:val="20"/>
      <w:vertAlign w:val="superscript"/>
      <w:lang w:val="en-US"/>
    </w:rPr>
  </w:style>
  <w:style w:type="character" w:customStyle="1" w:styleId="20">
    <w:name w:val="Texto comentario Car"/>
    <w:basedOn w:val="8"/>
    <w:link w:val="11"/>
    <w:uiPriority w:val="0"/>
    <w:rPr>
      <w:rFonts w:ascii="Times New Roman" w:hAnsi="Times New Roman" w:eastAsia="Times New Roman" w:cs="Times New Roman"/>
      <w:sz w:val="20"/>
      <w:szCs w:val="20"/>
      <w:lang w:val="tr-TR" w:eastAsia="tr-TR"/>
    </w:rPr>
  </w:style>
  <w:style w:type="character" w:customStyle="1" w:styleId="21">
    <w:name w:val="Pie de página Car"/>
    <w:basedOn w:val="8"/>
    <w:link w:val="13"/>
    <w:uiPriority w:val="99"/>
    <w:rPr>
      <w:rFonts w:ascii="Times New Roman" w:hAnsi="Times New Roman" w:eastAsia="Times New Roman" w:cs="Times New Roman"/>
      <w:sz w:val="24"/>
      <w:szCs w:val="24"/>
      <w:lang w:val="tr-TR" w:eastAsia="tr-TR"/>
    </w:rPr>
  </w:style>
  <w:style w:type="character" w:customStyle="1" w:styleId="22">
    <w:name w:val="Unresolved Mention"/>
    <w:basedOn w:val="8"/>
    <w:semiHidden/>
    <w:unhideWhenUsed/>
    <w:uiPriority w:val="99"/>
    <w:rPr>
      <w:color w:val="605E5C"/>
      <w:shd w:val="clear" w:color="auto" w:fill="E1DFDD"/>
    </w:rPr>
  </w:style>
  <w:style w:type="table" w:customStyle="1" w:styleId="23">
    <w:name w:val="_Style 22"/>
    <w:basedOn w:val="16"/>
    <w:uiPriority w:val="0"/>
    <w:tblPr>
      <w:tblCellMar>
        <w:top w:w="0" w:type="dxa"/>
        <w:left w:w="115" w:type="dxa"/>
        <w:bottom w:w="0" w:type="dxa"/>
        <w:right w:w="115" w:type="dxa"/>
      </w:tblCellMar>
    </w:tblPr>
  </w:style>
  <w:style w:type="table" w:customStyle="1" w:styleId="24">
    <w:name w:val="_Style 23"/>
    <w:basedOn w:val="16"/>
    <w:uiPriority w:val="0"/>
    <w:tblPr>
      <w:tblCellMar>
        <w:top w:w="0" w:type="dxa"/>
        <w:left w:w="115" w:type="dxa"/>
        <w:bottom w:w="0" w:type="dxa"/>
        <w:right w:w="115" w:type="dxa"/>
      </w:tblCellMar>
    </w:tblPr>
  </w:style>
  <w:style w:type="table" w:customStyle="1" w:styleId="25">
    <w:name w:val="_Style 25"/>
    <w:basedOn w:val="16"/>
    <w:uiPriority w:val="0"/>
    <w:tblPr>
      <w:tblCellMar>
        <w:top w:w="0" w:type="dxa"/>
        <w:left w:w="115" w:type="dxa"/>
        <w:bottom w:w="0" w:type="dxa"/>
        <w:right w:w="115" w:type="dxa"/>
      </w:tblCellMar>
    </w:tblPr>
  </w:style>
  <w:style w:type="table" w:customStyle="1" w:styleId="26">
    <w:name w:val="_Style 26"/>
    <w:basedOn w:val="16"/>
    <w:uiPriority w:val="0"/>
    <w:tblPr>
      <w:tblCellMar>
        <w:top w:w="0" w:type="dxa"/>
        <w:left w:w="115" w:type="dxa"/>
        <w:bottom w:w="0" w:type="dxa"/>
        <w:right w:w="115"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go:gDocsCustomXmlDataStorage xmlns:r="http://schemas.openxmlformats.org/officeDocument/2006/relationships" xmlns:go="http://customooxmlschemas.google.com/"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1111111-1234-1234-1234-123412341234}">
  <ds:schemaRefs/>
</ds:datastoreItem>
</file>

<file path=docProps/app.xml><?xml version="1.0" encoding="utf-8"?>
<Properties xmlns="http://schemas.openxmlformats.org/officeDocument/2006/extended-properties" xmlns:vt="http://schemas.openxmlformats.org/officeDocument/2006/docPropsVTypes">
  <Pages>2</Pages>
  <TotalTime>52</TotalTime>
  <ScaleCrop>false</ScaleCrop>
  <LinksUpToDate>false</LinksUpToDate>
  <Application>WPS Office_12.1.23155.23155_F1E327BC-269C-435d-A152-05C5408002CA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2025-09-07T17:06:00Z</dcterms:created>
  <dc:creator>Mariana Berenice González Leija</dc:creator>
  <cp:lastModifiedBy>Eduardo Portas</cp:lastModifiedBy>
  <dcterms:modified xsi:type="dcterms:W3CDTF">2026-02-06T16:15:26Z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3082-12.1.23155.23155</vt:lpwstr>
  </property>
  <property fmtid="{D5CDD505-2E9C-101B-9397-08002B2CF9AE}" pid="3" name="ICV">
    <vt:lpwstr>E3753215B3EA074DC9718369473E3A84_42</vt:lpwstr>
  </property>
</Properties>
</file>