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012D6A" w14:textId="3060B2EF" w:rsidR="008035D7" w:rsidRDefault="00106235">
      <w:pPr>
        <w:pBdr>
          <w:top w:val="nil"/>
          <w:left w:val="nil"/>
          <w:bottom w:val="nil"/>
          <w:right w:val="nil"/>
          <w:between w:val="nil"/>
        </w:pBdr>
        <w:spacing w:before="120" w:after="120"/>
        <w:jc w:val="center"/>
        <w:rPr>
          <w:rFonts w:ascii="Roboto" w:eastAsia="Roboto" w:hAnsi="Roboto" w:cs="Roboto"/>
          <w:b/>
          <w:color w:val="000000"/>
        </w:rPr>
      </w:pPr>
      <w:r w:rsidRPr="00106235">
        <w:rPr>
          <w:rFonts w:ascii="Roboto" w:eastAsia="Roboto" w:hAnsi="Roboto" w:cs="Roboto"/>
          <w:b/>
          <w:color w:val="000000"/>
        </w:rPr>
        <w:t>Eficiencia de las políticas públicas estatales para la reducción de la pobreza en México: un análisis DEA (2010–2022)</w:t>
      </w:r>
    </w:p>
    <w:p w14:paraId="0938199F" w14:textId="3724E6D3" w:rsidR="008035D7" w:rsidRDefault="0052265C">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Carmona-Benítez R.B.</w:t>
      </w:r>
      <w:r w:rsidR="00106235">
        <w:rPr>
          <w:rFonts w:ascii="Roboto" w:eastAsia="Roboto" w:hAnsi="Roboto" w:cs="Roboto"/>
          <w:b/>
          <w:color w:val="000000"/>
          <w:sz w:val="20"/>
          <w:szCs w:val="20"/>
          <w:vertAlign w:val="superscript"/>
        </w:rPr>
        <w:t>1</w:t>
      </w:r>
      <w:r>
        <w:rPr>
          <w:rFonts w:ascii="Roboto" w:eastAsia="Roboto" w:hAnsi="Roboto" w:cs="Roboto"/>
          <w:b/>
          <w:color w:val="000000"/>
          <w:sz w:val="20"/>
          <w:szCs w:val="20"/>
          <w:vertAlign w:val="superscript"/>
        </w:rPr>
        <w:t>*</w:t>
      </w:r>
    </w:p>
    <w:p w14:paraId="55D7E62F" w14:textId="79820E3F" w:rsidR="0052265C" w:rsidRDefault="00D63875" w:rsidP="0052265C">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color w:val="000000"/>
          <w:sz w:val="18"/>
          <w:szCs w:val="18"/>
          <w:vertAlign w:val="superscript"/>
        </w:rPr>
        <w:t>1</w:t>
      </w:r>
      <w:r w:rsidR="0052265C" w:rsidRPr="004D4E6C">
        <w:rPr>
          <w:rFonts w:ascii="Roboto" w:eastAsia="Roboto" w:hAnsi="Roboto" w:cs="Roboto"/>
          <w:color w:val="000000"/>
          <w:sz w:val="18"/>
          <w:szCs w:val="18"/>
        </w:rPr>
        <w:t>Facultad de Economía y Negocios, Universidad Anáhuac México</w:t>
      </w:r>
      <w:r w:rsidR="0052265C">
        <w:rPr>
          <w:rFonts w:ascii="Roboto" w:eastAsia="Roboto" w:hAnsi="Roboto" w:cs="Roboto"/>
          <w:color w:val="000000"/>
          <w:sz w:val="18"/>
          <w:szCs w:val="18"/>
        </w:rPr>
        <w:t>, ORCID: 0000-0002-8369-2748</w:t>
      </w:r>
    </w:p>
    <w:p w14:paraId="5C743C74" w14:textId="77777777" w:rsidR="0052265C" w:rsidRDefault="0052265C" w:rsidP="0052265C">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rafael.carmona@anahuac.mx)</w:t>
      </w:r>
    </w:p>
    <w:p w14:paraId="61247F64" w14:textId="77777777" w:rsidR="008035D7" w:rsidRDefault="00000000">
      <w:pPr>
        <w:spacing w:before="60"/>
        <w:jc w:val="center"/>
        <w:rPr>
          <w:rFonts w:ascii="Roboto" w:eastAsia="Roboto" w:hAnsi="Roboto" w:cs="Roboto"/>
          <w:sz w:val="18"/>
          <w:szCs w:val="18"/>
        </w:rPr>
        <w:sectPr w:rsidR="008035D7">
          <w:headerReference w:type="default" r:id="rId7"/>
          <w:pgSz w:w="11906" w:h="16838"/>
          <w:pgMar w:top="851" w:right="851" w:bottom="828" w:left="851" w:header="357" w:footer="720" w:gutter="0"/>
          <w:pgNumType w:start="1"/>
          <w:cols w:space="720"/>
        </w:sectPr>
      </w:pPr>
      <w:r>
        <w:rPr>
          <w:noProof/>
        </w:rPr>
        <w:pict w14:anchorId="3B2D6501">
          <v:rect id="_x0000_i1025" alt="" style="width:441.9pt;height:.05pt;mso-width-percent:0;mso-height-percent:0;mso-width-percent:0;mso-height-percent:0" o:hralign="center" o:hrstd="t" o:hr="t" fillcolor="#a0a0a0" stroked="f"/>
        </w:pict>
      </w:r>
    </w:p>
    <w:p w14:paraId="588269C2" w14:textId="77777777" w:rsidR="00046D67" w:rsidRPr="00046D67" w:rsidRDefault="00046D67" w:rsidP="00046D67">
      <w:pPr>
        <w:keepNext/>
        <w:jc w:val="both"/>
        <w:rPr>
          <w:rFonts w:ascii="Roboto" w:eastAsia="Roboto" w:hAnsi="Roboto" w:cs="Roboto"/>
          <w:b/>
          <w:sz w:val="20"/>
          <w:szCs w:val="20"/>
        </w:rPr>
      </w:pPr>
      <w:r w:rsidRPr="00046D67">
        <w:rPr>
          <w:rFonts w:ascii="Roboto" w:eastAsia="Roboto" w:hAnsi="Roboto" w:cs="Roboto"/>
          <w:b/>
          <w:sz w:val="20"/>
          <w:szCs w:val="20"/>
        </w:rPr>
        <w:t>INTRODUCCIÓN</w:t>
      </w:r>
    </w:p>
    <w:p w14:paraId="2FB9C974" w14:textId="5E368C88" w:rsidR="00286E0C" w:rsidRPr="00286E0C" w:rsidRDefault="00286E0C" w:rsidP="00286E0C">
      <w:pPr>
        <w:keepNext/>
        <w:jc w:val="both"/>
        <w:rPr>
          <w:rFonts w:ascii="Roboto" w:eastAsia="Roboto" w:hAnsi="Roboto" w:cs="Roboto"/>
          <w:bCs/>
          <w:sz w:val="20"/>
          <w:szCs w:val="20"/>
        </w:rPr>
      </w:pPr>
      <w:r w:rsidRPr="00286E0C">
        <w:rPr>
          <w:rFonts w:ascii="Roboto" w:eastAsia="Roboto" w:hAnsi="Roboto" w:cs="Roboto"/>
          <w:bCs/>
          <w:sz w:val="20"/>
          <w:szCs w:val="20"/>
        </w:rPr>
        <w:t xml:space="preserve">La pobreza constituye uno de los principales desafíos socioeconómicos, particularmente en países caracterizados por desigualdades estructurales, heterogeneidad regional y restricciones en la capacidad fiscal del Estado. En México, pese a la implementación sostenida de programas y políticas públicas orientadas al desarrollo social, una proporción relevante de la población continúa enfrentando carencias en el ejercicio de derechos fundamentales como la educación, la salud, la seguridad social, la vivienda y la alimentación. </w:t>
      </w:r>
      <w:r w:rsidR="00E741A0" w:rsidRPr="00E741A0">
        <w:rPr>
          <w:rFonts w:ascii="Roboto" w:eastAsia="Roboto" w:hAnsi="Roboto" w:cs="Roboto"/>
          <w:bCs/>
          <w:sz w:val="20"/>
          <w:szCs w:val="20"/>
        </w:rPr>
        <w:t>Por ello, resulta importante evaluar no solo el alcance de dichas intervenciones, sino también su eficiencia en el uso de los recursos públicos</w:t>
      </w:r>
      <w:r w:rsidRPr="00286E0C">
        <w:rPr>
          <w:rFonts w:ascii="Roboto" w:eastAsia="Roboto" w:hAnsi="Roboto" w:cs="Roboto"/>
          <w:bCs/>
          <w:sz w:val="20"/>
          <w:szCs w:val="20"/>
        </w:rPr>
        <w:t>.</w:t>
      </w:r>
    </w:p>
    <w:p w14:paraId="057229AE" w14:textId="77777777" w:rsidR="00286E0C" w:rsidRPr="00286E0C" w:rsidRDefault="00286E0C" w:rsidP="00286E0C">
      <w:pPr>
        <w:keepNext/>
        <w:jc w:val="both"/>
        <w:rPr>
          <w:rFonts w:ascii="Roboto" w:eastAsia="Roboto" w:hAnsi="Roboto" w:cs="Roboto"/>
          <w:bCs/>
          <w:sz w:val="20"/>
          <w:szCs w:val="20"/>
        </w:rPr>
      </w:pPr>
    </w:p>
    <w:p w14:paraId="424BE04B" w14:textId="0CA22D5B" w:rsidR="00896401" w:rsidRPr="00896401" w:rsidRDefault="00286E0C" w:rsidP="00286E0C">
      <w:pPr>
        <w:keepNext/>
        <w:jc w:val="both"/>
        <w:rPr>
          <w:rFonts w:ascii="Roboto" w:eastAsia="Roboto" w:hAnsi="Roboto" w:cs="Roboto"/>
          <w:bCs/>
          <w:sz w:val="20"/>
          <w:szCs w:val="20"/>
        </w:rPr>
      </w:pPr>
      <w:r w:rsidRPr="00286E0C">
        <w:rPr>
          <w:rFonts w:ascii="Roboto" w:eastAsia="Roboto" w:hAnsi="Roboto" w:cs="Roboto"/>
          <w:bCs/>
          <w:sz w:val="20"/>
          <w:szCs w:val="20"/>
        </w:rPr>
        <w:t>Durante el periodo 2010–2022, los gobiernos estatales implementaron múltiples programas de combate a la pobreza con enfoques y prioridades diferenciadas, sin que ello se traduzca necesariamente en resultados homogéneos ni eficientes. En este marco, el estudio evalúa la eficiencia técnica de las políticas públicas estatales para la reducción de la pobreza en México mediante un modelo de DEA, incorporando la metodología de Medición Multidimensional de la Pobreza del CONEVAL</w:t>
      </w:r>
      <w:r w:rsidR="00E435C9">
        <w:rPr>
          <w:rFonts w:ascii="Roboto" w:eastAsia="Roboto" w:hAnsi="Roboto" w:cs="Roboto"/>
          <w:bCs/>
          <w:sz w:val="20"/>
          <w:szCs w:val="20"/>
        </w:rPr>
        <w:t>.</w:t>
      </w:r>
      <w:r w:rsidRPr="00286E0C">
        <w:rPr>
          <w:rFonts w:ascii="Roboto" w:eastAsia="Roboto" w:hAnsi="Roboto" w:cs="Roboto"/>
          <w:bCs/>
          <w:sz w:val="20"/>
          <w:szCs w:val="20"/>
        </w:rPr>
        <w:t xml:space="preserve"> </w:t>
      </w:r>
      <w:r w:rsidR="00E435C9">
        <w:rPr>
          <w:rFonts w:ascii="Roboto" w:eastAsia="Roboto" w:hAnsi="Roboto" w:cs="Roboto"/>
          <w:bCs/>
          <w:sz w:val="20"/>
          <w:szCs w:val="20"/>
        </w:rPr>
        <w:t>E</w:t>
      </w:r>
      <w:r w:rsidRPr="00286E0C">
        <w:rPr>
          <w:rFonts w:ascii="Roboto" w:eastAsia="Roboto" w:hAnsi="Roboto" w:cs="Roboto"/>
          <w:bCs/>
          <w:sz w:val="20"/>
          <w:szCs w:val="20"/>
        </w:rPr>
        <w:t xml:space="preserve">l objetivo </w:t>
      </w:r>
      <w:r w:rsidR="00E435C9">
        <w:rPr>
          <w:rFonts w:ascii="Roboto" w:eastAsia="Roboto" w:hAnsi="Roboto" w:cs="Roboto"/>
          <w:bCs/>
          <w:sz w:val="20"/>
          <w:szCs w:val="20"/>
        </w:rPr>
        <w:t>es</w:t>
      </w:r>
      <w:r w:rsidRPr="00286E0C">
        <w:rPr>
          <w:rFonts w:ascii="Roboto" w:eastAsia="Roboto" w:hAnsi="Roboto" w:cs="Roboto"/>
          <w:bCs/>
          <w:sz w:val="20"/>
          <w:szCs w:val="20"/>
        </w:rPr>
        <w:t xml:space="preserve"> identificar diferencias sistemáticas en el desempeño relativo entre entidades federativas y generar evidencia empírica útil para el diseño de políticas públicas más efectivas y orientadas a la reducción sostenible de la pobreza</w:t>
      </w:r>
      <w:r w:rsidR="00896401" w:rsidRPr="00896401">
        <w:rPr>
          <w:rFonts w:ascii="Roboto" w:eastAsia="Roboto" w:hAnsi="Roboto" w:cs="Roboto"/>
          <w:bCs/>
          <w:sz w:val="20"/>
          <w:szCs w:val="20"/>
        </w:rPr>
        <w:t>.</w:t>
      </w:r>
    </w:p>
    <w:p w14:paraId="3CC836E2" w14:textId="77777777" w:rsidR="001D3AB5" w:rsidRDefault="001D3AB5" w:rsidP="00046D67">
      <w:pPr>
        <w:keepNext/>
        <w:jc w:val="both"/>
        <w:rPr>
          <w:rFonts w:ascii="Roboto" w:eastAsia="Roboto" w:hAnsi="Roboto" w:cs="Roboto"/>
          <w:bCs/>
          <w:sz w:val="20"/>
          <w:szCs w:val="20"/>
        </w:rPr>
      </w:pPr>
    </w:p>
    <w:p w14:paraId="0F1F0F7B" w14:textId="77777777" w:rsidR="00F10DA5" w:rsidRDefault="00F10DA5" w:rsidP="00F10DA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DESCRIPCIÓN DEL PROBLEMA Y DEL MODELO</w:t>
      </w:r>
    </w:p>
    <w:p w14:paraId="0F220DF7" w14:textId="19DDEA44" w:rsidR="00286E0C" w:rsidRPr="00286E0C" w:rsidRDefault="00286E0C" w:rsidP="00286E0C">
      <w:pPr>
        <w:keepNext/>
        <w:jc w:val="both"/>
        <w:rPr>
          <w:rFonts w:ascii="Roboto" w:eastAsia="Roboto" w:hAnsi="Roboto" w:cs="Roboto"/>
          <w:bCs/>
          <w:sz w:val="20"/>
          <w:szCs w:val="20"/>
        </w:rPr>
      </w:pPr>
      <w:r w:rsidRPr="00286E0C">
        <w:rPr>
          <w:rFonts w:ascii="Roboto" w:eastAsia="Roboto" w:hAnsi="Roboto" w:cs="Roboto"/>
          <w:bCs/>
          <w:sz w:val="20"/>
          <w:szCs w:val="20"/>
        </w:rPr>
        <w:t xml:space="preserve">El estudio analiza las diferencias en el desempeño de las políticas públicas implementadas por los gobiernos estatales en México para la reducción de la pobreza, en un contexto de restricciones presupuestarias y heterogeneidad regional. A pesar de los recursos públicos destinados al combate de la pobreza, los resultados en términos de reducción de carencias sociales no son homogéneos entre las entidades federativas, lo que </w:t>
      </w:r>
      <w:r w:rsidR="00E435C9">
        <w:rPr>
          <w:rFonts w:ascii="Roboto" w:eastAsia="Roboto" w:hAnsi="Roboto" w:cs="Roboto"/>
          <w:bCs/>
          <w:sz w:val="20"/>
          <w:szCs w:val="20"/>
        </w:rPr>
        <w:t>hace necesario</w:t>
      </w:r>
      <w:r w:rsidRPr="00286E0C">
        <w:rPr>
          <w:rFonts w:ascii="Roboto" w:eastAsia="Roboto" w:hAnsi="Roboto" w:cs="Roboto"/>
          <w:bCs/>
          <w:sz w:val="20"/>
          <w:szCs w:val="20"/>
        </w:rPr>
        <w:t xml:space="preserve"> evaluar su desempeño relativo desde una perspectiva de eficiencia técnica.</w:t>
      </w:r>
    </w:p>
    <w:p w14:paraId="287E844A" w14:textId="77777777" w:rsidR="00286E0C" w:rsidRPr="00286E0C" w:rsidRDefault="00286E0C" w:rsidP="00286E0C">
      <w:pPr>
        <w:keepNext/>
        <w:jc w:val="both"/>
        <w:rPr>
          <w:rFonts w:ascii="Roboto" w:eastAsia="Roboto" w:hAnsi="Roboto" w:cs="Roboto"/>
          <w:bCs/>
          <w:sz w:val="20"/>
          <w:szCs w:val="20"/>
        </w:rPr>
      </w:pPr>
    </w:p>
    <w:p w14:paraId="18A5D045" w14:textId="4ECFD1C9" w:rsidR="00286E0C" w:rsidRPr="00286E0C" w:rsidRDefault="00286E0C" w:rsidP="00286E0C">
      <w:pPr>
        <w:keepNext/>
        <w:jc w:val="both"/>
        <w:rPr>
          <w:rFonts w:ascii="Roboto" w:eastAsia="Roboto" w:hAnsi="Roboto" w:cs="Roboto"/>
          <w:bCs/>
          <w:sz w:val="20"/>
          <w:szCs w:val="20"/>
        </w:rPr>
      </w:pPr>
      <w:r w:rsidRPr="00286E0C">
        <w:rPr>
          <w:rFonts w:ascii="Roboto" w:eastAsia="Roboto" w:hAnsi="Roboto" w:cs="Roboto"/>
          <w:bCs/>
          <w:sz w:val="20"/>
          <w:szCs w:val="20"/>
        </w:rPr>
        <w:t xml:space="preserve">Para ello, se estima la eficiencia técnica de las políticas estatales de reducción de la pobreza durante el periodo 2010–2022 </w:t>
      </w:r>
      <w:r w:rsidR="00E435C9">
        <w:rPr>
          <w:rFonts w:ascii="Roboto" w:eastAsia="Roboto" w:hAnsi="Roboto" w:cs="Roboto"/>
          <w:bCs/>
          <w:sz w:val="20"/>
          <w:szCs w:val="20"/>
        </w:rPr>
        <w:t>con</w:t>
      </w:r>
      <w:r w:rsidRPr="00286E0C">
        <w:rPr>
          <w:rFonts w:ascii="Roboto" w:eastAsia="Roboto" w:hAnsi="Roboto" w:cs="Roboto"/>
          <w:bCs/>
          <w:sz w:val="20"/>
          <w:szCs w:val="20"/>
        </w:rPr>
        <w:t xml:space="preserve"> un modelo de DEA. Las unidades de análisis (DMU) corresponden a las entidades federativas de México. La base de datos se construye a partir de la metodología de Medición Multidimensional de la Pobreza del CONEVAL e incorpora indicadores de carencias sociales asociados al rezago educativo, acceso a servicios de salud, seguridad social, calidad y </w:t>
      </w:r>
      <w:r w:rsidRPr="00286E0C">
        <w:rPr>
          <w:rFonts w:ascii="Roboto" w:eastAsia="Roboto" w:hAnsi="Roboto" w:cs="Roboto"/>
          <w:bCs/>
          <w:sz w:val="20"/>
          <w:szCs w:val="20"/>
        </w:rPr>
        <w:t>espacios de la vivienda, servicios básicos en la vivienda y acceso a la alimentación.</w:t>
      </w:r>
    </w:p>
    <w:p w14:paraId="2C33A230" w14:textId="77777777" w:rsidR="00286E0C" w:rsidRPr="00286E0C" w:rsidRDefault="00286E0C" w:rsidP="00286E0C">
      <w:pPr>
        <w:keepNext/>
        <w:jc w:val="both"/>
        <w:rPr>
          <w:rFonts w:ascii="Roboto" w:eastAsia="Roboto" w:hAnsi="Roboto" w:cs="Roboto"/>
          <w:bCs/>
          <w:sz w:val="20"/>
          <w:szCs w:val="20"/>
        </w:rPr>
      </w:pPr>
    </w:p>
    <w:p w14:paraId="72991059" w14:textId="53E1CAFA" w:rsidR="00341668" w:rsidRDefault="00286E0C" w:rsidP="00286E0C">
      <w:pPr>
        <w:keepNext/>
        <w:jc w:val="both"/>
        <w:rPr>
          <w:rFonts w:ascii="Roboto" w:eastAsia="Roboto" w:hAnsi="Roboto" w:cs="Roboto"/>
          <w:bCs/>
          <w:sz w:val="20"/>
          <w:szCs w:val="20"/>
        </w:rPr>
      </w:pPr>
      <w:r w:rsidRPr="00286E0C">
        <w:rPr>
          <w:rFonts w:ascii="Roboto" w:eastAsia="Roboto" w:hAnsi="Roboto" w:cs="Roboto"/>
          <w:bCs/>
          <w:sz w:val="20"/>
          <w:szCs w:val="20"/>
        </w:rPr>
        <w:t>En el modelo DEA, el gasto público social estatal se considera como variable de entrada (input), mientras que la reducción de las carencias sociales se utiliza como variable de salida (output), lo que permite evaluar el desempeño relativo de las entidades federativas sin imponer relaciones matemáticas predeterminadas entre las variables</w:t>
      </w:r>
      <w:r w:rsidR="00016291" w:rsidRPr="00016291">
        <w:rPr>
          <w:rFonts w:ascii="Roboto" w:eastAsia="Roboto" w:hAnsi="Roboto" w:cs="Roboto"/>
          <w:bCs/>
          <w:sz w:val="20"/>
          <w:szCs w:val="20"/>
        </w:rPr>
        <w:t>.</w:t>
      </w:r>
    </w:p>
    <w:p w14:paraId="47CA7F97" w14:textId="77777777" w:rsidR="008035D7" w:rsidRPr="00532397" w:rsidRDefault="008035D7" w:rsidP="00532397">
      <w:pPr>
        <w:keepNext/>
        <w:jc w:val="both"/>
        <w:rPr>
          <w:rFonts w:ascii="Roboto" w:eastAsia="Roboto" w:hAnsi="Roboto" w:cs="Roboto"/>
          <w:b/>
          <w:bCs/>
          <w:color w:val="000000"/>
          <w:sz w:val="20"/>
          <w:szCs w:val="20"/>
        </w:rPr>
      </w:pPr>
    </w:p>
    <w:p w14:paraId="079C69C2" w14:textId="448A62C5" w:rsidR="00532397" w:rsidRPr="00532397" w:rsidRDefault="00532397" w:rsidP="00532397">
      <w:pPr>
        <w:keepNext/>
        <w:jc w:val="both"/>
        <w:rPr>
          <w:rFonts w:ascii="Roboto" w:eastAsia="Roboto" w:hAnsi="Roboto" w:cs="Roboto"/>
          <w:b/>
          <w:bCs/>
          <w:color w:val="000000"/>
          <w:sz w:val="20"/>
          <w:szCs w:val="20"/>
        </w:rPr>
      </w:pPr>
      <w:r w:rsidRPr="00532397">
        <w:rPr>
          <w:rFonts w:ascii="Roboto" w:eastAsia="Roboto" w:hAnsi="Roboto" w:cs="Roboto"/>
          <w:b/>
          <w:bCs/>
          <w:color w:val="000000"/>
          <w:sz w:val="20"/>
          <w:szCs w:val="20"/>
        </w:rPr>
        <w:t>RESULTADOS</w:t>
      </w:r>
    </w:p>
    <w:p w14:paraId="57BCA067" w14:textId="2F6E8E00" w:rsidR="00532397" w:rsidRDefault="00286E0C">
      <w:pPr>
        <w:pBdr>
          <w:top w:val="nil"/>
          <w:left w:val="nil"/>
          <w:bottom w:val="nil"/>
          <w:right w:val="nil"/>
          <w:between w:val="nil"/>
        </w:pBdr>
        <w:jc w:val="both"/>
        <w:rPr>
          <w:rFonts w:ascii="Roboto" w:eastAsia="Roboto" w:hAnsi="Roboto" w:cs="Roboto"/>
          <w:color w:val="000000"/>
          <w:sz w:val="20"/>
          <w:szCs w:val="20"/>
        </w:rPr>
      </w:pPr>
      <w:r w:rsidRPr="00286E0C">
        <w:rPr>
          <w:rFonts w:ascii="Roboto" w:eastAsia="Roboto" w:hAnsi="Roboto" w:cs="Roboto"/>
          <w:color w:val="000000"/>
          <w:sz w:val="20"/>
          <w:szCs w:val="20"/>
        </w:rPr>
        <w:t>Los resultados del análisis DEA muestran diferencias significativas en los niveles de eficiencia técnica entre las entidades federativas de México en la implementación de políticas públicas orientadas a la reducción de la pobreza durante el periodo 2010–2022. Mientras algunos estados se ubican en la frontera eficiente, otros presentan brechas relevantes entre los recursos públicos destinados al gasto social y los resultados obtenidos en términos de reducción de carencias sociales multidimensionales. El análisis evidencia que mayores niveles de gasto social no se traducen necesariamente en mejores desempeños relativos, lo que sugiere que factores institucionales y de gestión influyen de manera importante en la eficiencia observada</w:t>
      </w:r>
      <w:r w:rsidR="00532397" w:rsidRPr="00532397">
        <w:rPr>
          <w:rFonts w:ascii="Roboto" w:eastAsia="Roboto" w:hAnsi="Roboto" w:cs="Roboto"/>
          <w:color w:val="000000"/>
          <w:sz w:val="20"/>
          <w:szCs w:val="20"/>
        </w:rPr>
        <w:t>.</w:t>
      </w:r>
    </w:p>
    <w:p w14:paraId="48EB9737" w14:textId="77777777" w:rsidR="00F10DA5" w:rsidRDefault="00F10DA5">
      <w:pPr>
        <w:pBdr>
          <w:top w:val="nil"/>
          <w:left w:val="nil"/>
          <w:bottom w:val="nil"/>
          <w:right w:val="nil"/>
          <w:between w:val="nil"/>
        </w:pBdr>
        <w:jc w:val="both"/>
        <w:rPr>
          <w:rFonts w:ascii="Roboto" w:eastAsia="Roboto" w:hAnsi="Roboto" w:cs="Roboto"/>
          <w:color w:val="000000"/>
          <w:sz w:val="20"/>
          <w:szCs w:val="20"/>
        </w:rPr>
      </w:pPr>
    </w:p>
    <w:p w14:paraId="145129E9" w14:textId="77777777" w:rsidR="00F10DA5" w:rsidRDefault="00F10DA5" w:rsidP="00F10DA5">
      <w:pPr>
        <w:pBdr>
          <w:top w:val="nil"/>
          <w:left w:val="nil"/>
          <w:bottom w:val="nil"/>
          <w:right w:val="nil"/>
          <w:between w:val="nil"/>
        </w:pBdr>
        <w:jc w:val="both"/>
        <w:rPr>
          <w:rFonts w:ascii="Roboto" w:eastAsia="Roboto" w:hAnsi="Roboto" w:cs="Roboto"/>
          <w:b/>
          <w:color w:val="000000"/>
          <w:sz w:val="20"/>
          <w:szCs w:val="20"/>
        </w:rPr>
      </w:pPr>
      <w:r>
        <w:rPr>
          <w:rFonts w:ascii="Roboto" w:eastAsia="Roboto" w:hAnsi="Roboto" w:cs="Roboto"/>
          <w:b/>
          <w:color w:val="000000"/>
          <w:sz w:val="20"/>
          <w:szCs w:val="20"/>
        </w:rPr>
        <w:t>CONCLUSIONES Y TRABAJO FUTURO</w:t>
      </w:r>
    </w:p>
    <w:p w14:paraId="397F6D3C" w14:textId="7014713F" w:rsidR="002D05F8" w:rsidRDefault="00CB41B8" w:rsidP="002404ED">
      <w:pPr>
        <w:keepNext/>
        <w:jc w:val="both"/>
        <w:rPr>
          <w:rFonts w:ascii="Roboto" w:eastAsia="Roboto" w:hAnsi="Roboto" w:cs="Roboto"/>
          <w:bCs/>
          <w:sz w:val="20"/>
          <w:szCs w:val="20"/>
        </w:rPr>
      </w:pPr>
      <w:r w:rsidRPr="00CB41B8">
        <w:rPr>
          <w:rFonts w:ascii="Roboto" w:eastAsia="Roboto" w:hAnsi="Roboto" w:cs="Roboto"/>
          <w:bCs/>
          <w:sz w:val="20"/>
          <w:szCs w:val="20"/>
        </w:rPr>
        <w:t xml:space="preserve">Es importante evaluar las políticas públicas de combate a la pobreza no solo en función de su nivel de gasto, sino también desde una perspectiva de eficiencia en el uso de los recursos públicos. Los resultados muestran diferencias significativas en la eficiencia técnica entre las entidades federativas. </w:t>
      </w:r>
      <w:r w:rsidR="00CD4F74">
        <w:rPr>
          <w:rFonts w:ascii="Roboto" w:eastAsia="Roboto" w:hAnsi="Roboto" w:cs="Roboto"/>
          <w:bCs/>
          <w:sz w:val="20"/>
          <w:szCs w:val="20"/>
        </w:rPr>
        <w:t>Los resultados de esta investigación contribuyen a la teoría en</w:t>
      </w:r>
      <w:r w:rsidRPr="00CB41B8">
        <w:rPr>
          <w:rFonts w:ascii="Roboto" w:eastAsia="Roboto" w:hAnsi="Roboto" w:cs="Roboto"/>
          <w:bCs/>
          <w:sz w:val="20"/>
          <w:szCs w:val="20"/>
        </w:rPr>
        <w:t xml:space="preserve"> planeación socioeconómica</w:t>
      </w:r>
      <w:r w:rsidR="00CD4F74">
        <w:rPr>
          <w:rFonts w:ascii="Roboto" w:eastAsia="Roboto" w:hAnsi="Roboto" w:cs="Roboto"/>
          <w:bCs/>
          <w:sz w:val="20"/>
          <w:szCs w:val="20"/>
        </w:rPr>
        <w:t xml:space="preserve"> pues permiten diseñar</w:t>
      </w:r>
      <w:r w:rsidRPr="00CB41B8">
        <w:rPr>
          <w:rFonts w:ascii="Roboto" w:eastAsia="Roboto" w:hAnsi="Roboto" w:cs="Roboto"/>
          <w:bCs/>
          <w:sz w:val="20"/>
          <w:szCs w:val="20"/>
        </w:rPr>
        <w:t xml:space="preserve"> políticas públicas estatales </w:t>
      </w:r>
      <w:r w:rsidR="00CD4F74">
        <w:rPr>
          <w:rFonts w:ascii="Roboto" w:eastAsia="Roboto" w:hAnsi="Roboto" w:cs="Roboto"/>
          <w:bCs/>
          <w:sz w:val="20"/>
          <w:szCs w:val="20"/>
        </w:rPr>
        <w:t>bajo</w:t>
      </w:r>
      <w:r w:rsidRPr="00CB41B8">
        <w:rPr>
          <w:rFonts w:ascii="Roboto" w:eastAsia="Roboto" w:hAnsi="Roboto" w:cs="Roboto"/>
          <w:bCs/>
          <w:sz w:val="20"/>
          <w:szCs w:val="20"/>
        </w:rPr>
        <w:t xml:space="preserve"> restricciones presupuestarias. Como </w:t>
      </w:r>
      <w:r w:rsidR="00CD4F74">
        <w:rPr>
          <w:rFonts w:ascii="Roboto" w:eastAsia="Roboto" w:hAnsi="Roboto" w:cs="Roboto"/>
          <w:bCs/>
          <w:sz w:val="20"/>
          <w:szCs w:val="20"/>
        </w:rPr>
        <w:t>trabajos</w:t>
      </w:r>
      <w:r w:rsidR="00CD4F74" w:rsidRPr="00CB41B8">
        <w:rPr>
          <w:rFonts w:ascii="Roboto" w:eastAsia="Roboto" w:hAnsi="Roboto" w:cs="Roboto"/>
          <w:bCs/>
          <w:sz w:val="20"/>
          <w:szCs w:val="20"/>
        </w:rPr>
        <w:t xml:space="preserve"> futuros</w:t>
      </w:r>
      <w:r w:rsidRPr="00CB41B8">
        <w:rPr>
          <w:rFonts w:ascii="Roboto" w:eastAsia="Roboto" w:hAnsi="Roboto" w:cs="Roboto"/>
          <w:bCs/>
          <w:sz w:val="20"/>
          <w:szCs w:val="20"/>
        </w:rPr>
        <w:t xml:space="preserve"> de investigación, </w:t>
      </w:r>
      <w:r>
        <w:rPr>
          <w:rFonts w:ascii="Roboto" w:eastAsia="Roboto" w:hAnsi="Roboto" w:cs="Roboto"/>
          <w:bCs/>
          <w:sz w:val="20"/>
          <w:szCs w:val="20"/>
        </w:rPr>
        <w:t>se propone</w:t>
      </w:r>
      <w:r w:rsidRPr="00CB41B8">
        <w:rPr>
          <w:rFonts w:ascii="Roboto" w:eastAsia="Roboto" w:hAnsi="Roboto" w:cs="Roboto"/>
          <w:bCs/>
          <w:sz w:val="20"/>
          <w:szCs w:val="20"/>
        </w:rPr>
        <w:t xml:space="preserve"> incorporar análisis dinámicos e indicadores de calidad institucional para</w:t>
      </w:r>
      <w:r>
        <w:rPr>
          <w:rFonts w:ascii="Roboto" w:eastAsia="Roboto" w:hAnsi="Roboto" w:cs="Roboto"/>
          <w:bCs/>
          <w:sz w:val="20"/>
          <w:szCs w:val="20"/>
        </w:rPr>
        <w:t xml:space="preserve"> desarrollar</w:t>
      </w:r>
      <w:r w:rsidRPr="00CB41B8">
        <w:rPr>
          <w:rFonts w:ascii="Roboto" w:eastAsia="Roboto" w:hAnsi="Roboto" w:cs="Roboto"/>
          <w:bCs/>
          <w:sz w:val="20"/>
          <w:szCs w:val="20"/>
        </w:rPr>
        <w:t xml:space="preserve"> evaluaciones más integrales</w:t>
      </w:r>
      <w:r w:rsidR="002404ED" w:rsidRPr="002404ED">
        <w:rPr>
          <w:rFonts w:ascii="Roboto" w:eastAsia="Roboto" w:hAnsi="Roboto" w:cs="Roboto"/>
          <w:bCs/>
          <w:sz w:val="20"/>
          <w:szCs w:val="20"/>
        </w:rPr>
        <w:t>.</w:t>
      </w:r>
    </w:p>
    <w:p w14:paraId="63C45F50" w14:textId="77777777" w:rsidR="002404ED" w:rsidRPr="002404ED" w:rsidRDefault="002404ED" w:rsidP="002404ED">
      <w:pPr>
        <w:keepNext/>
        <w:jc w:val="both"/>
        <w:rPr>
          <w:rFonts w:ascii="Roboto" w:eastAsia="Roboto" w:hAnsi="Roboto" w:cs="Roboto"/>
          <w:bCs/>
          <w:sz w:val="20"/>
          <w:szCs w:val="20"/>
        </w:rPr>
      </w:pPr>
    </w:p>
    <w:p w14:paraId="26C8E225" w14:textId="76ABD7B7" w:rsidR="008035D7" w:rsidRPr="00CD4F74" w:rsidRDefault="00D63875">
      <w:pPr>
        <w:jc w:val="both"/>
        <w:rPr>
          <w:rFonts w:ascii="Roboto" w:eastAsia="Roboto" w:hAnsi="Roboto" w:cs="Roboto"/>
          <w:b/>
          <w:sz w:val="20"/>
          <w:szCs w:val="20"/>
          <w:lang w:val="en-US"/>
        </w:rPr>
      </w:pPr>
      <w:r w:rsidRPr="00CD4F74">
        <w:rPr>
          <w:rFonts w:ascii="Roboto" w:eastAsia="Roboto" w:hAnsi="Roboto" w:cs="Roboto"/>
          <w:b/>
          <w:sz w:val="20"/>
          <w:szCs w:val="20"/>
          <w:lang w:val="en-US"/>
        </w:rPr>
        <w:t>REFERENCIAS</w:t>
      </w:r>
    </w:p>
    <w:p w14:paraId="58330404" w14:textId="7F2760F7" w:rsidR="00286E0C" w:rsidRPr="00286E0C" w:rsidRDefault="00286E0C" w:rsidP="00286E0C">
      <w:pPr>
        <w:jc w:val="both"/>
        <w:rPr>
          <w:rFonts w:ascii="Roboto" w:eastAsia="Roboto" w:hAnsi="Roboto" w:cs="Roboto"/>
          <w:sz w:val="20"/>
          <w:szCs w:val="20"/>
        </w:rPr>
      </w:pPr>
      <w:r w:rsidRPr="00286E0C">
        <w:rPr>
          <w:rFonts w:ascii="Roboto" w:eastAsia="Roboto" w:hAnsi="Roboto" w:cs="Roboto"/>
          <w:sz w:val="20"/>
          <w:szCs w:val="20"/>
          <w:lang w:val="en-US"/>
        </w:rPr>
        <w:t xml:space="preserve">Charnes, A., Cooper, W. W., &amp; Rhodes, E. (1978). Measuring the efficiency of decision-making units. </w:t>
      </w:r>
      <w:proofErr w:type="spellStart"/>
      <w:r w:rsidRPr="00286E0C">
        <w:rPr>
          <w:rFonts w:ascii="Roboto" w:eastAsia="Roboto" w:hAnsi="Roboto" w:cs="Roboto"/>
          <w:sz w:val="20"/>
          <w:szCs w:val="20"/>
        </w:rPr>
        <w:t>European</w:t>
      </w:r>
      <w:proofErr w:type="spellEnd"/>
      <w:r w:rsidRPr="00286E0C">
        <w:rPr>
          <w:rFonts w:ascii="Roboto" w:eastAsia="Roboto" w:hAnsi="Roboto" w:cs="Roboto"/>
          <w:sz w:val="20"/>
          <w:szCs w:val="20"/>
        </w:rPr>
        <w:t xml:space="preserve"> </w:t>
      </w:r>
      <w:proofErr w:type="spellStart"/>
      <w:r w:rsidRPr="00286E0C">
        <w:rPr>
          <w:rFonts w:ascii="Roboto" w:eastAsia="Roboto" w:hAnsi="Roboto" w:cs="Roboto"/>
          <w:sz w:val="20"/>
          <w:szCs w:val="20"/>
        </w:rPr>
        <w:t>Journal</w:t>
      </w:r>
      <w:proofErr w:type="spellEnd"/>
      <w:r w:rsidRPr="00286E0C">
        <w:rPr>
          <w:rFonts w:ascii="Roboto" w:eastAsia="Roboto" w:hAnsi="Roboto" w:cs="Roboto"/>
          <w:sz w:val="20"/>
          <w:szCs w:val="20"/>
        </w:rPr>
        <w:t xml:space="preserve"> </w:t>
      </w:r>
      <w:proofErr w:type="spellStart"/>
      <w:r w:rsidRPr="00286E0C">
        <w:rPr>
          <w:rFonts w:ascii="Roboto" w:eastAsia="Roboto" w:hAnsi="Roboto" w:cs="Roboto"/>
          <w:sz w:val="20"/>
          <w:szCs w:val="20"/>
        </w:rPr>
        <w:t>of</w:t>
      </w:r>
      <w:proofErr w:type="spellEnd"/>
      <w:r w:rsidRPr="00286E0C">
        <w:rPr>
          <w:rFonts w:ascii="Roboto" w:eastAsia="Roboto" w:hAnsi="Roboto" w:cs="Roboto"/>
          <w:sz w:val="20"/>
          <w:szCs w:val="20"/>
        </w:rPr>
        <w:t xml:space="preserve"> </w:t>
      </w:r>
      <w:proofErr w:type="spellStart"/>
      <w:r w:rsidRPr="00286E0C">
        <w:rPr>
          <w:rFonts w:ascii="Roboto" w:eastAsia="Roboto" w:hAnsi="Roboto" w:cs="Roboto"/>
          <w:sz w:val="20"/>
          <w:szCs w:val="20"/>
        </w:rPr>
        <w:t>Operational</w:t>
      </w:r>
      <w:proofErr w:type="spellEnd"/>
      <w:r w:rsidRPr="00286E0C">
        <w:rPr>
          <w:rFonts w:ascii="Roboto" w:eastAsia="Roboto" w:hAnsi="Roboto" w:cs="Roboto"/>
          <w:sz w:val="20"/>
          <w:szCs w:val="20"/>
        </w:rPr>
        <w:t xml:space="preserve"> Research, 2(6), 429–444.</w:t>
      </w:r>
    </w:p>
    <w:p w14:paraId="1EC66267" w14:textId="57AB40C5" w:rsidR="004E6BC4" w:rsidRDefault="00286E0C" w:rsidP="00286E0C">
      <w:pPr>
        <w:jc w:val="both"/>
        <w:rPr>
          <w:rFonts w:ascii="Roboto" w:eastAsia="Roboto" w:hAnsi="Roboto" w:cs="Roboto"/>
        </w:rPr>
      </w:pPr>
      <w:r w:rsidRPr="00286E0C">
        <w:rPr>
          <w:rFonts w:ascii="Roboto" w:eastAsia="Roboto" w:hAnsi="Roboto" w:cs="Roboto"/>
          <w:sz w:val="20"/>
          <w:szCs w:val="20"/>
        </w:rPr>
        <w:t>Consejo Nacional de Evaluación de la Política de Desarrollo Social (CONEVAL). (2018). Metodología para la medición multidimensional de la pobreza en México (2.ª ed.). CONEVAL</w:t>
      </w:r>
      <w:r w:rsidR="004E6BC4">
        <w:t>.</w:t>
      </w:r>
    </w:p>
    <w:sectPr w:rsidR="004E6BC4">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4C5EFB" w14:textId="77777777" w:rsidR="00D85BCA" w:rsidRDefault="00D85BCA">
      <w:r>
        <w:separator/>
      </w:r>
    </w:p>
  </w:endnote>
  <w:endnote w:type="continuationSeparator" w:id="0">
    <w:p w14:paraId="0F65E0FC" w14:textId="77777777" w:rsidR="00D85BCA" w:rsidRDefault="00D85B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0B74C3CB-6864-4B56-A150-DE87AF06CB15}"/>
  </w:font>
  <w:font w:name="Georgia">
    <w:panose1 w:val="02040502050405020303"/>
    <w:charset w:val="00"/>
    <w:family w:val="roman"/>
    <w:pitch w:val="variable"/>
    <w:sig w:usb0="00000287" w:usb1="00000000" w:usb2="00000000" w:usb3="00000000" w:csb0="0000009F" w:csb1="00000000"/>
    <w:embedRegular r:id="rId2" w:fontKey="{F43FD8E5-6531-4216-9FC6-08B6F62FD58B}"/>
    <w:embedItalic r:id="rId3" w:fontKey="{E134F55F-9123-41B5-BD73-AF51C819F982}"/>
  </w:font>
  <w:font w:name="Roboto">
    <w:charset w:val="00"/>
    <w:family w:val="auto"/>
    <w:pitch w:val="variable"/>
    <w:sig w:usb0="E0000AFF" w:usb1="5000217F" w:usb2="00000021" w:usb3="00000000" w:csb0="0000019F" w:csb1="00000000"/>
    <w:embedRegular r:id="rId4" w:fontKey="{D43DDA9A-562E-4CD3-A2A7-7B5C803261A7}"/>
    <w:embedBold r:id="rId5" w:fontKey="{85DA0B15-58B9-4C9D-B0B4-089E77CD6A09}"/>
  </w:font>
  <w:font w:name="Calibri Light">
    <w:panose1 w:val="020F0302020204030204"/>
    <w:charset w:val="00"/>
    <w:family w:val="swiss"/>
    <w:pitch w:val="variable"/>
    <w:sig w:usb0="E4002EFF" w:usb1="C200247B" w:usb2="00000009" w:usb3="00000000" w:csb0="000001FF" w:csb1="00000000"/>
    <w:embedRegular r:id="rId6" w:fontKey="{6043A16F-D40D-47EB-9D7E-06B22FCCEF05}"/>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D716F6" w14:textId="77777777" w:rsidR="00D85BCA" w:rsidRDefault="00D85BCA">
      <w:r>
        <w:separator/>
      </w:r>
    </w:p>
  </w:footnote>
  <w:footnote w:type="continuationSeparator" w:id="0">
    <w:p w14:paraId="7DF44BE2" w14:textId="77777777" w:rsidR="00D85BCA" w:rsidRDefault="00D85B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393C21" w14:textId="77777777" w:rsidR="008035D7" w:rsidRDefault="008035D7">
    <w:pPr>
      <w:widowControl w:val="0"/>
      <w:pBdr>
        <w:top w:val="nil"/>
        <w:left w:val="nil"/>
        <w:bottom w:val="nil"/>
        <w:right w:val="nil"/>
        <w:between w:val="nil"/>
      </w:pBdr>
      <w:spacing w:line="276" w:lineRule="auto"/>
      <w:rPr>
        <w:rFonts w:ascii="Roboto" w:eastAsia="Roboto" w:hAnsi="Roboto" w:cs="Roboto"/>
      </w:rPr>
    </w:pPr>
  </w:p>
  <w:tbl>
    <w:tblPr>
      <w:tblStyle w:val="a2"/>
      <w:tblW w:w="6306" w:type="dxa"/>
      <w:jc w:val="center"/>
      <w:tblInd w:w="0" w:type="dxa"/>
      <w:tblLayout w:type="fixed"/>
      <w:tblLook w:val="0400" w:firstRow="0" w:lastRow="0" w:firstColumn="0" w:lastColumn="0" w:noHBand="0" w:noVBand="1"/>
    </w:tblPr>
    <w:tblGrid>
      <w:gridCol w:w="6306"/>
    </w:tblGrid>
    <w:tr w:rsidR="008035D7" w14:paraId="27E1A79A" w14:textId="77777777">
      <w:trPr>
        <w:trHeight w:val="345"/>
        <w:jc w:val="center"/>
      </w:trPr>
      <w:tc>
        <w:tcPr>
          <w:tcW w:w="6306" w:type="dxa"/>
          <w:vAlign w:val="center"/>
        </w:tcPr>
        <w:p w14:paraId="0EC49DAD" w14:textId="77777777" w:rsidR="008035D7" w:rsidRDefault="008035D7">
          <w:pPr>
            <w:jc w:val="center"/>
            <w:rPr>
              <w:i/>
              <w:sz w:val="18"/>
              <w:szCs w:val="18"/>
            </w:rPr>
          </w:pPr>
        </w:p>
      </w:tc>
    </w:tr>
  </w:tbl>
  <w:p w14:paraId="16E789CD" w14:textId="77777777" w:rsidR="008035D7" w:rsidRDefault="008035D7">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35D7"/>
    <w:rsid w:val="00016291"/>
    <w:rsid w:val="00036B1C"/>
    <w:rsid w:val="00037137"/>
    <w:rsid w:val="00042069"/>
    <w:rsid w:val="00046D67"/>
    <w:rsid w:val="000A0878"/>
    <w:rsid w:val="000F2D3C"/>
    <w:rsid w:val="00106235"/>
    <w:rsid w:val="001D3AB5"/>
    <w:rsid w:val="002404ED"/>
    <w:rsid w:val="00286E0C"/>
    <w:rsid w:val="002C6F1D"/>
    <w:rsid w:val="002D05F8"/>
    <w:rsid w:val="002E176D"/>
    <w:rsid w:val="002E2377"/>
    <w:rsid w:val="00341668"/>
    <w:rsid w:val="00404AEF"/>
    <w:rsid w:val="004C7830"/>
    <w:rsid w:val="004E6BC4"/>
    <w:rsid w:val="005010EA"/>
    <w:rsid w:val="0052265C"/>
    <w:rsid w:val="00532397"/>
    <w:rsid w:val="005E079E"/>
    <w:rsid w:val="00655FFD"/>
    <w:rsid w:val="006E1EBE"/>
    <w:rsid w:val="00701499"/>
    <w:rsid w:val="008035D7"/>
    <w:rsid w:val="00896401"/>
    <w:rsid w:val="008B11D6"/>
    <w:rsid w:val="008C41B8"/>
    <w:rsid w:val="00A32338"/>
    <w:rsid w:val="00A80B67"/>
    <w:rsid w:val="00C10279"/>
    <w:rsid w:val="00CB41B8"/>
    <w:rsid w:val="00CC7B1F"/>
    <w:rsid w:val="00CD4F74"/>
    <w:rsid w:val="00D63875"/>
    <w:rsid w:val="00D85BCA"/>
    <w:rsid w:val="00E435C9"/>
    <w:rsid w:val="00E6432B"/>
    <w:rsid w:val="00E741A0"/>
    <w:rsid w:val="00F10DA5"/>
    <w:rsid w:val="00F770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D8A7FF"/>
  <w15:docId w15:val="{6A1BD5E2-27C8-4463-B59D-5940E15B3F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sz w:val="72"/>
      <w:szCs w:val="72"/>
    </w:rPr>
  </w:style>
  <w:style w:type="table" w:customStyle="1" w:styleId="TableNormal1">
    <w:name w:val="TableNormal"/>
    <w:tblPr>
      <w:tblCellMar>
        <w:top w:w="100" w:type="dxa"/>
        <w:left w:w="100" w:type="dxa"/>
        <w:bottom w:w="100" w:type="dxa"/>
        <w:right w:w="100" w:type="dxa"/>
      </w:tblCellMar>
    </w:tblPr>
  </w:style>
  <w:style w:type="paragraph" w:styleId="Header">
    <w:name w:val="header"/>
    <w:basedOn w:val="Normal"/>
    <w:link w:val="HeaderChar"/>
    <w:uiPriority w:val="99"/>
    <w:unhideWhenUsed/>
    <w:rsid w:val="005625FC"/>
    <w:pPr>
      <w:tabs>
        <w:tab w:val="center" w:pos="4320"/>
        <w:tab w:val="right" w:pos="8640"/>
      </w:tabs>
    </w:pPr>
    <w:rPr>
      <w:rFonts w:asciiTheme="minorHAnsi" w:eastAsiaTheme="minorHAnsi" w:hAnsiTheme="minorHAnsi" w:cstheme="minorBidi"/>
      <w:sz w:val="22"/>
      <w:szCs w:val="22"/>
      <w:lang w:val="en-US"/>
    </w:rPr>
  </w:style>
  <w:style w:type="character" w:customStyle="1" w:styleId="HeaderChar">
    <w:name w:val="Header Char"/>
    <w:basedOn w:val="DefaultParagraphFont"/>
    <w:link w:val="Header"/>
    <w:uiPriority w:val="99"/>
    <w:rsid w:val="005625FC"/>
    <w:rPr>
      <w:lang w:val="en-US"/>
    </w:rPr>
  </w:style>
  <w:style w:type="paragraph" w:customStyle="1" w:styleId="AUTHORSNAMES">
    <w:name w:val="AUTHORS NAMES"/>
    <w:basedOn w:val="Normal"/>
    <w:qFormat/>
    <w:rsid w:val="005625FC"/>
    <w:pPr>
      <w:spacing w:before="120" w:after="120" w:line="240" w:lineRule="atLeast"/>
    </w:pPr>
    <w:rPr>
      <w:b/>
      <w:sz w:val="22"/>
      <w:szCs w:val="20"/>
    </w:rPr>
  </w:style>
  <w:style w:type="paragraph" w:customStyle="1" w:styleId="AFFILIATIONS">
    <w:name w:val="AFFILIATIONS"/>
    <w:basedOn w:val="Normal"/>
    <w:qFormat/>
    <w:rsid w:val="005625FC"/>
    <w:pPr>
      <w:spacing w:line="240" w:lineRule="atLeast"/>
    </w:pPr>
    <w:rPr>
      <w:sz w:val="18"/>
      <w:szCs w:val="20"/>
      <w:vertAlign w:val="superscript"/>
      <w:lang w:val="en-US"/>
    </w:rPr>
  </w:style>
  <w:style w:type="paragraph" w:styleId="CommentText">
    <w:name w:val="annotation text"/>
    <w:basedOn w:val="Normal"/>
    <w:link w:val="CommentTextChar"/>
    <w:rsid w:val="005625FC"/>
    <w:rPr>
      <w:sz w:val="20"/>
      <w:szCs w:val="20"/>
    </w:rPr>
  </w:style>
  <w:style w:type="character" w:customStyle="1" w:styleId="CommentTextChar">
    <w:name w:val="Comment Text Char"/>
    <w:basedOn w:val="DefaultParagraphFont"/>
    <w:link w:val="CommentText"/>
    <w:rsid w:val="005625FC"/>
    <w:rPr>
      <w:rFonts w:ascii="Times New Roman" w:eastAsia="Times New Roman" w:hAnsi="Times New Roman" w:cs="Times New Roman"/>
      <w:sz w:val="20"/>
      <w:szCs w:val="20"/>
      <w:lang w:val="tr-TR" w:eastAsia="tr-TR"/>
    </w:rPr>
  </w:style>
  <w:style w:type="character" w:styleId="Hyperlink">
    <w:name w:val="Hyperlink"/>
    <w:basedOn w:val="DefaultParagraphFont"/>
    <w:uiPriority w:val="99"/>
    <w:unhideWhenUsed/>
    <w:rsid w:val="005625FC"/>
    <w:rPr>
      <w:color w:val="0563C1" w:themeColor="hyperlink"/>
      <w:u w:val="single"/>
    </w:rPr>
  </w:style>
  <w:style w:type="paragraph" w:styleId="Footer">
    <w:name w:val="footer"/>
    <w:basedOn w:val="Normal"/>
    <w:link w:val="FooterChar"/>
    <w:uiPriority w:val="99"/>
    <w:unhideWhenUsed/>
    <w:rsid w:val="00B12BB3"/>
    <w:pPr>
      <w:tabs>
        <w:tab w:val="center" w:pos="4419"/>
        <w:tab w:val="right" w:pos="8838"/>
      </w:tabs>
    </w:pPr>
  </w:style>
  <w:style w:type="character" w:customStyle="1" w:styleId="FooterChar">
    <w:name w:val="Footer Char"/>
    <w:basedOn w:val="DefaultParagraphFont"/>
    <w:link w:val="Footer"/>
    <w:uiPriority w:val="99"/>
    <w:rsid w:val="00B12BB3"/>
    <w:rPr>
      <w:rFonts w:ascii="Times New Roman" w:eastAsia="Times New Roman" w:hAnsi="Times New Roman" w:cs="Times New Roman"/>
      <w:sz w:val="24"/>
      <w:szCs w:val="24"/>
      <w:lang w:val="tr-TR" w:eastAsia="tr-TR"/>
    </w:rPr>
  </w:style>
  <w:style w:type="character" w:styleId="UnresolvedMention">
    <w:name w:val="Unresolved Mention"/>
    <w:basedOn w:val="DefaultParagraphFont"/>
    <w:uiPriority w:val="99"/>
    <w:semiHidden/>
    <w:unhideWhenUsed/>
    <w:rsid w:val="00AC5917"/>
    <w:rPr>
      <w:color w:val="605E5C"/>
      <w:shd w:val="clear" w:color="auto" w:fill="E1DFDD"/>
    </w:rPr>
  </w:style>
  <w:style w:type="table" w:customStyle="1" w:styleId="a">
    <w:basedOn w:val="TableNormal1"/>
    <w:tblPr>
      <w:tblStyleRowBandSize w:val="1"/>
      <w:tblStyleColBandSize w:val="1"/>
      <w:tblCellMar>
        <w:top w:w="0" w:type="dxa"/>
        <w:left w:w="115" w:type="dxa"/>
        <w:bottom w:w="0" w:type="dxa"/>
        <w:right w:w="115" w:type="dxa"/>
      </w:tblCellMar>
    </w:tblPr>
  </w:style>
  <w:style w:type="table" w:customStyle="1" w:styleId="a0">
    <w:basedOn w:val="TableNormal1"/>
    <w:tblPr>
      <w:tblStyleRowBandSize w:val="1"/>
      <w:tblStyleColBandSize w:val="1"/>
      <w:tblCellMar>
        <w:top w:w="0" w:type="dxa"/>
        <w:left w:w="115" w:type="dxa"/>
        <w:bottom w:w="0" w:type="dxa"/>
        <w:right w:w="115" w:type="dxa"/>
      </w:tblCellMar>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1">
    <w:basedOn w:val="TableNormal1"/>
    <w:tblPr>
      <w:tblStyleRowBandSize w:val="1"/>
      <w:tblStyleColBandSize w:val="1"/>
      <w:tblCellMar>
        <w:top w:w="0" w:type="dxa"/>
        <w:left w:w="115" w:type="dxa"/>
        <w:bottom w:w="0" w:type="dxa"/>
        <w:right w:w="115" w:type="dxa"/>
      </w:tblCellMar>
    </w:tblPr>
  </w:style>
  <w:style w:type="table" w:customStyle="1" w:styleId="a2">
    <w:basedOn w:val="TableNormal1"/>
    <w:tblPr>
      <w:tblStyleRowBandSize w:val="1"/>
      <w:tblStyleColBandSize w:val="1"/>
      <w:tblCellMar>
        <w:top w:w="0" w:type="dxa"/>
        <w:left w:w="115" w:type="dxa"/>
        <w:bottom w:w="0" w:type="dxa"/>
        <w:right w:w="115" w:type="dxa"/>
      </w:tblCellMar>
    </w:tblPr>
  </w:style>
  <w:style w:type="paragraph" w:styleId="NormalWeb">
    <w:name w:val="Normal (Web)"/>
    <w:basedOn w:val="Normal"/>
    <w:uiPriority w:val="99"/>
    <w:semiHidden/>
    <w:unhideWhenUsed/>
    <w:rsid w:val="002404ED"/>
    <w:pPr>
      <w:spacing w:before="100" w:beforeAutospacing="1" w:after="100" w:afterAutospacing="1"/>
    </w:pPr>
    <w:rPr>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3037828">
      <w:bodyDiv w:val="1"/>
      <w:marLeft w:val="0"/>
      <w:marRight w:val="0"/>
      <w:marTop w:val="0"/>
      <w:marBottom w:val="0"/>
      <w:divBdr>
        <w:top w:val="none" w:sz="0" w:space="0" w:color="auto"/>
        <w:left w:val="none" w:sz="0" w:space="0" w:color="auto"/>
        <w:bottom w:val="none" w:sz="0" w:space="0" w:color="auto"/>
        <w:right w:val="none" w:sz="0" w:space="0" w:color="auto"/>
      </w:divBdr>
    </w:div>
    <w:div w:id="20375372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ljXbelLgG65gZF2QnhxRlAtOTng==">CgMxLjA4AHIhMVVnbmZxNjZHV2Z0N2NLeFRUSEl4WjFxMVQ0MkVYSkYx</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1</Pages>
  <Words>737</Words>
  <Characters>4204</Characters>
  <Application>Microsoft Office Word</Application>
  <DocSecurity>0</DocSecurity>
  <Lines>35</Lines>
  <Paragraphs>9</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4932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Mariana Berenice González Leija</dc:creator>
  <cp:lastModifiedBy>RAFAEL CARMONA</cp:lastModifiedBy>
  <cp:revision>14</cp:revision>
  <dcterms:created xsi:type="dcterms:W3CDTF">2026-01-23T17:37:00Z</dcterms:created>
  <dcterms:modified xsi:type="dcterms:W3CDTF">2026-01-26T15:06:00Z</dcterms:modified>
</cp:coreProperties>
</file>