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478EE6" w14:textId="5D8D0D4D" w:rsidR="00DC7F6E" w:rsidRDefault="004E7D44">
      <w:pPr>
        <w:pBdr>
          <w:top w:val="nil"/>
          <w:left w:val="nil"/>
          <w:bottom w:val="nil"/>
          <w:right w:val="nil"/>
          <w:between w:val="nil"/>
        </w:pBdr>
        <w:spacing w:before="120" w:after="120"/>
        <w:jc w:val="center"/>
        <w:rPr>
          <w:rFonts w:ascii="Roboto" w:eastAsia="Roboto" w:hAnsi="Roboto" w:cs="Roboto"/>
          <w:b/>
          <w:color w:val="000000"/>
        </w:rPr>
      </w:pPr>
      <w:r>
        <w:rPr>
          <w:rFonts w:ascii="Roboto" w:eastAsia="Roboto" w:hAnsi="Roboto" w:cs="Roboto"/>
          <w:b/>
          <w:color w:val="000000"/>
        </w:rPr>
        <w:t>Polarización política y su impacto en la confianza social en democracias contemporáneas</w:t>
      </w:r>
    </w:p>
    <w:p w14:paraId="4F41D410" w14:textId="52187C06" w:rsidR="00DC7F6E" w:rsidRDefault="004E7D44">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Ruiz-Méndez, A</w:t>
      </w:r>
      <w:r w:rsidR="009D67C9">
        <w:rPr>
          <w:rFonts w:ascii="Roboto" w:eastAsia="Roboto" w:hAnsi="Roboto" w:cs="Roboto"/>
          <w:b/>
          <w:color w:val="000000"/>
          <w:sz w:val="20"/>
          <w:szCs w:val="20"/>
        </w:rPr>
        <w:t>.</w:t>
      </w:r>
      <w:r w:rsidR="009D67C9">
        <w:rPr>
          <w:rFonts w:ascii="Roboto" w:eastAsia="Roboto" w:hAnsi="Roboto" w:cs="Roboto"/>
          <w:b/>
          <w:color w:val="000000"/>
          <w:sz w:val="20"/>
          <w:szCs w:val="20"/>
          <w:vertAlign w:val="superscript"/>
        </w:rPr>
        <w:t>1</w:t>
      </w:r>
      <w:r w:rsidR="009D67C9">
        <w:rPr>
          <w:rFonts w:ascii="Roboto" w:eastAsia="Roboto" w:hAnsi="Roboto" w:cs="Roboto"/>
          <w:b/>
          <w:color w:val="000000"/>
          <w:sz w:val="20"/>
          <w:szCs w:val="20"/>
          <w:vertAlign w:val="superscript"/>
        </w:rPr>
        <w:t>*</w:t>
      </w:r>
    </w:p>
    <w:p w14:paraId="2B7140BB" w14:textId="6955B1E1" w:rsidR="00DC7F6E" w:rsidRDefault="009D67C9">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4E7D44">
        <w:rPr>
          <w:rFonts w:ascii="Roboto" w:eastAsia="Roboto" w:hAnsi="Roboto" w:cs="Roboto"/>
          <w:color w:val="000000"/>
          <w:sz w:val="18"/>
          <w:szCs w:val="18"/>
        </w:rPr>
        <w:t>Universidad Anáhuac México</w:t>
      </w:r>
      <w:r>
        <w:rPr>
          <w:rFonts w:ascii="Roboto" w:eastAsia="Roboto" w:hAnsi="Roboto" w:cs="Roboto"/>
          <w:color w:val="000000"/>
          <w:sz w:val="18"/>
          <w:szCs w:val="18"/>
        </w:rPr>
        <w:t>, ORCID</w:t>
      </w:r>
      <w:r w:rsidR="004E7D44">
        <w:rPr>
          <w:rFonts w:ascii="Roboto" w:eastAsia="Roboto" w:hAnsi="Roboto" w:cs="Roboto"/>
          <w:color w:val="000000"/>
          <w:sz w:val="18"/>
          <w:szCs w:val="18"/>
        </w:rPr>
        <w:t xml:space="preserve">: </w:t>
      </w:r>
      <w:r w:rsidR="004E7D44" w:rsidRPr="004E7D44">
        <w:rPr>
          <w:rFonts w:ascii="Roboto" w:eastAsia="Roboto" w:hAnsi="Roboto" w:cs="Roboto"/>
          <w:color w:val="000000"/>
          <w:sz w:val="18"/>
          <w:szCs w:val="18"/>
        </w:rPr>
        <w:t>https://orcid.org/0000-0002-3802-2243</w:t>
      </w:r>
    </w:p>
    <w:p w14:paraId="0093D443" w14:textId="332BDC59" w:rsidR="00DC7F6E" w:rsidRDefault="009D67C9">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4E7D44">
        <w:rPr>
          <w:rFonts w:ascii="Roboto" w:eastAsia="Roboto" w:hAnsi="Roboto" w:cs="Roboto"/>
          <w:sz w:val="18"/>
          <w:szCs w:val="18"/>
        </w:rPr>
        <w:t>alberto.ruizm@anahuac.mx</w:t>
      </w:r>
      <w:r>
        <w:rPr>
          <w:rFonts w:ascii="Roboto" w:eastAsia="Roboto" w:hAnsi="Roboto" w:cs="Roboto"/>
          <w:sz w:val="18"/>
          <w:szCs w:val="18"/>
        </w:rPr>
        <w:t>)</w:t>
      </w:r>
    </w:p>
    <w:p w14:paraId="4242CDF4" w14:textId="77777777" w:rsidR="00DC7F6E" w:rsidRDefault="009D67C9">
      <w:pPr>
        <w:spacing w:before="60"/>
        <w:jc w:val="center"/>
        <w:rPr>
          <w:rFonts w:ascii="Roboto" w:eastAsia="Roboto" w:hAnsi="Roboto" w:cs="Roboto"/>
          <w:sz w:val="18"/>
          <w:szCs w:val="18"/>
        </w:rPr>
        <w:sectPr w:rsidR="00DC7F6E">
          <w:headerReference w:type="default" r:id="rId7"/>
          <w:pgSz w:w="11906" w:h="16838"/>
          <w:pgMar w:top="851" w:right="851" w:bottom="828" w:left="851" w:header="357" w:footer="720" w:gutter="0"/>
          <w:pgNumType w:start="1"/>
          <w:cols w:space="720"/>
        </w:sectPr>
      </w:pPr>
      <w:r>
        <w:pict w14:anchorId="1C6A7455">
          <v:rect id="_x0000_i1025" style="width:0;height:1.5pt" o:hralign="center" o:hrstd="t" o:hr="t" fillcolor="#a0a0a0" stroked="f"/>
        </w:pict>
      </w:r>
    </w:p>
    <w:p w14:paraId="17E3EBA7" w14:textId="7D8F2144" w:rsidR="00DC7F6E" w:rsidRDefault="008F1070">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RESUMEN</w:t>
      </w:r>
    </w:p>
    <w:p w14:paraId="6C2BD9BE" w14:textId="6DE8FD09" w:rsidR="00DC7F6E" w:rsidRDefault="008F1070">
      <w:pPr>
        <w:pBdr>
          <w:top w:val="nil"/>
          <w:left w:val="nil"/>
          <w:bottom w:val="nil"/>
          <w:right w:val="nil"/>
          <w:between w:val="nil"/>
        </w:pBdr>
        <w:jc w:val="both"/>
        <w:rPr>
          <w:rFonts w:ascii="Roboto" w:eastAsia="Roboto" w:hAnsi="Roboto" w:cs="Roboto"/>
          <w:color w:val="000000"/>
          <w:sz w:val="20"/>
          <w:szCs w:val="20"/>
        </w:rPr>
      </w:pPr>
      <w:r w:rsidRPr="008F1070">
        <w:rPr>
          <w:rFonts w:ascii="Roboto" w:eastAsia="Roboto" w:hAnsi="Roboto" w:cs="Roboto"/>
          <w:color w:val="000000"/>
          <w:sz w:val="20"/>
          <w:szCs w:val="20"/>
        </w:rPr>
        <w:t>La ponencia analiza cómo la polarización política contemporánea, amplificada por la comunicación digital y la duda mediática, erosiona la confianza social. Desde la teoría de la polarización afectiva y el análisis del discurso político, se muestra cómo narrativas dicotómicas debilitan la deliberación democrática y fragmentan los lazos sociales contemporáneos actuales.</w:t>
      </w:r>
    </w:p>
    <w:p w14:paraId="1E4040E7" w14:textId="77777777" w:rsidR="008F1070" w:rsidRDefault="008F1070">
      <w:pPr>
        <w:pBdr>
          <w:top w:val="nil"/>
          <w:left w:val="nil"/>
          <w:bottom w:val="nil"/>
          <w:right w:val="nil"/>
          <w:between w:val="nil"/>
        </w:pBdr>
        <w:jc w:val="both"/>
        <w:rPr>
          <w:rFonts w:ascii="Roboto" w:eastAsia="Roboto" w:hAnsi="Roboto" w:cs="Roboto"/>
          <w:b/>
          <w:color w:val="000000"/>
          <w:sz w:val="20"/>
          <w:szCs w:val="20"/>
        </w:rPr>
      </w:pPr>
    </w:p>
    <w:p w14:paraId="694D3460" w14:textId="0F9D93FA" w:rsidR="00DC7F6E" w:rsidRDefault="008F1070">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CONTEXTO</w:t>
      </w:r>
    </w:p>
    <w:p w14:paraId="6B86A075" w14:textId="0882CFF4" w:rsidR="008F1070" w:rsidRDefault="008F1070">
      <w:pPr>
        <w:pBdr>
          <w:top w:val="nil"/>
          <w:left w:val="nil"/>
          <w:bottom w:val="nil"/>
          <w:right w:val="nil"/>
          <w:between w:val="nil"/>
        </w:pBdr>
        <w:jc w:val="both"/>
        <w:rPr>
          <w:rFonts w:ascii="Roboto" w:eastAsia="Roboto" w:hAnsi="Roboto" w:cs="Roboto"/>
          <w:color w:val="000000"/>
          <w:sz w:val="20"/>
          <w:szCs w:val="20"/>
        </w:rPr>
      </w:pPr>
      <w:r w:rsidRPr="008F1070">
        <w:rPr>
          <w:rFonts w:ascii="Roboto" w:eastAsia="Roboto" w:hAnsi="Roboto" w:cs="Roboto"/>
          <w:color w:val="000000"/>
          <w:sz w:val="20"/>
          <w:szCs w:val="20"/>
        </w:rPr>
        <w:t>En las democracias contemporáneas, y particularmente en América Latina, la polarización política ha dejado de ser un rasgo circunstancial del pluralismo para convertirse en un fenómeno estructural que afecta la cohesión social. Este proceso se ha visto intensificado por la transformación del ecosistema mediático digital, donde la comunicación política se desarrolla en un contexto de posverdad o “duda mediática”, caracterizado por la circulación masiva de desinformación, la crisis de los criterios tradicionales de veracidad y la centralidad del enfrentamiento como estrategia comunicativa. En este escenario, el discurso político adquiere un papel performativo que no solo organiza el conflicto político, sino que redefine los lazos de confianza entre los ciudadanos.</w:t>
      </w:r>
    </w:p>
    <w:p w14:paraId="78AED5DF" w14:textId="77777777" w:rsidR="00DC7F6E" w:rsidRDefault="00DC7F6E">
      <w:pPr>
        <w:pBdr>
          <w:top w:val="nil"/>
          <w:left w:val="nil"/>
          <w:bottom w:val="nil"/>
          <w:right w:val="nil"/>
          <w:between w:val="nil"/>
        </w:pBdr>
        <w:jc w:val="both"/>
        <w:rPr>
          <w:rFonts w:ascii="Roboto" w:eastAsia="Roboto" w:hAnsi="Roboto" w:cs="Roboto"/>
          <w:b/>
          <w:color w:val="000000"/>
          <w:sz w:val="20"/>
          <w:szCs w:val="20"/>
        </w:rPr>
      </w:pPr>
    </w:p>
    <w:p w14:paraId="664FD08F" w14:textId="1BA6E77A" w:rsidR="00DC7F6E" w:rsidRDefault="008F1070">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MARCO TEÓRICO</w:t>
      </w:r>
    </w:p>
    <w:p w14:paraId="402CC653" w14:textId="5170B035" w:rsidR="00DC7F6E" w:rsidRDefault="008F1070" w:rsidP="008F1070">
      <w:pPr>
        <w:pBdr>
          <w:top w:val="nil"/>
          <w:left w:val="nil"/>
          <w:bottom w:val="nil"/>
          <w:right w:val="nil"/>
          <w:between w:val="nil"/>
        </w:pBdr>
        <w:jc w:val="both"/>
        <w:rPr>
          <w:rFonts w:ascii="Roboto" w:eastAsia="Roboto" w:hAnsi="Roboto" w:cs="Roboto"/>
          <w:color w:val="000000"/>
          <w:sz w:val="20"/>
          <w:szCs w:val="20"/>
        </w:rPr>
      </w:pPr>
      <w:r w:rsidRPr="008F1070">
        <w:rPr>
          <w:rFonts w:ascii="Roboto" w:eastAsia="Roboto" w:hAnsi="Roboto" w:cs="Roboto"/>
          <w:color w:val="000000"/>
          <w:sz w:val="20"/>
          <w:szCs w:val="20"/>
        </w:rPr>
        <w:t xml:space="preserve">La ponencia se inscribe en los estudios sobre comunicación política, populismo y polarización afectiva. Retoma la distinción clásica de Giovanni Sartori sobre la polarización ideológica como un componente normal de la democracia, para contrastarla con enfoques contemporáneos que advierten un desplazamiento hacia una polarización de carácter moral </w:t>
      </w:r>
      <w:proofErr w:type="spellStart"/>
      <w:r w:rsidRPr="008F1070">
        <w:rPr>
          <w:rFonts w:ascii="Roboto" w:eastAsia="Roboto" w:hAnsi="Roboto" w:cs="Roboto"/>
          <w:color w:val="000000"/>
          <w:sz w:val="20"/>
          <w:szCs w:val="20"/>
        </w:rPr>
        <w:t>y</w:t>
      </w:r>
      <w:proofErr w:type="spellEnd"/>
      <w:r w:rsidRPr="008F1070">
        <w:rPr>
          <w:rFonts w:ascii="Roboto" w:eastAsia="Roboto" w:hAnsi="Roboto" w:cs="Roboto"/>
          <w:color w:val="000000"/>
          <w:sz w:val="20"/>
          <w:szCs w:val="20"/>
        </w:rPr>
        <w:t xml:space="preserve"> identitario. A partir de los aportes de McCoy, Bobbio y autores críticos de la comunicación digital, se conceptualiza la polarización afectiva como un proceso que divide a la sociedad en campos antagónicos a partir de juicios morales irreconciliables, debilitando la deliberación democrática y erosionando la confianza social.</w:t>
      </w:r>
    </w:p>
    <w:p w14:paraId="6B24D10B" w14:textId="77777777" w:rsidR="008F1070" w:rsidRDefault="008F1070" w:rsidP="008F1070">
      <w:pPr>
        <w:pBdr>
          <w:top w:val="nil"/>
          <w:left w:val="nil"/>
          <w:bottom w:val="nil"/>
          <w:right w:val="nil"/>
          <w:between w:val="nil"/>
        </w:pBdr>
        <w:jc w:val="both"/>
        <w:rPr>
          <w:rFonts w:ascii="Roboto" w:eastAsia="Roboto" w:hAnsi="Roboto" w:cs="Roboto"/>
          <w:color w:val="000000"/>
          <w:sz w:val="20"/>
          <w:szCs w:val="20"/>
        </w:rPr>
      </w:pPr>
    </w:p>
    <w:p w14:paraId="10C14436" w14:textId="6AA245EC" w:rsidR="00DC7F6E" w:rsidRDefault="008F1070">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 xml:space="preserve">ANÁLISIS </w:t>
      </w:r>
    </w:p>
    <w:p w14:paraId="19DC4A95" w14:textId="377359B2" w:rsidR="008F1070" w:rsidRDefault="009D67C9">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Las</w:t>
      </w:r>
      <w:r w:rsidR="008F1070">
        <w:rPr>
          <w:rFonts w:ascii="Roboto" w:eastAsia="Roboto" w:hAnsi="Roboto" w:cs="Roboto"/>
          <w:color w:val="000000"/>
          <w:sz w:val="20"/>
          <w:szCs w:val="20"/>
        </w:rPr>
        <w:t xml:space="preserve"> </w:t>
      </w:r>
      <w:r w:rsidR="008F1070" w:rsidRPr="008F1070">
        <w:rPr>
          <w:rFonts w:ascii="Roboto" w:eastAsia="Roboto" w:hAnsi="Roboto" w:cs="Roboto"/>
          <w:color w:val="000000"/>
          <w:sz w:val="20"/>
          <w:szCs w:val="20"/>
        </w:rPr>
        <w:t xml:space="preserve">El trabajo analiza cómo determinados estilos de comunicación política, amplificados por medios tradicionales y plataformas digitales, institucionalizan narrativas dicotómicas que construyen enemigos políticos deslegitimados moralmente. A partir de estudios empíricos previos sobre el discurso presidencial en América Latina —en particular el caso mexicano— se muestra cómo ciertos significantes políticos funcionan de manera performativa, asociando al adversario con atributos como corrupción, ilegalidad </w:t>
      </w:r>
      <w:r w:rsidR="008F1070" w:rsidRPr="008F1070">
        <w:rPr>
          <w:rFonts w:ascii="Roboto" w:eastAsia="Roboto" w:hAnsi="Roboto" w:cs="Roboto"/>
          <w:color w:val="000000"/>
          <w:sz w:val="20"/>
          <w:szCs w:val="20"/>
        </w:rPr>
        <w:t>o inmoralidad. Este tipo de discurso no solo ordena el campo político, sino que impacta directamente en las percepciones cotidianas de las personas, trasladando la polarización del ámbito institucional al tejido social</w:t>
      </w:r>
      <w:r w:rsidR="008F1070">
        <w:rPr>
          <w:rFonts w:ascii="Roboto" w:eastAsia="Roboto" w:hAnsi="Roboto" w:cs="Roboto"/>
          <w:color w:val="000000"/>
          <w:sz w:val="20"/>
          <w:szCs w:val="20"/>
        </w:rPr>
        <w:t>.</w:t>
      </w:r>
    </w:p>
    <w:p w14:paraId="5414A7B9" w14:textId="77777777" w:rsidR="008F1070" w:rsidRDefault="008F1070">
      <w:pPr>
        <w:jc w:val="both"/>
        <w:rPr>
          <w:rFonts w:ascii="Roboto" w:eastAsia="Roboto" w:hAnsi="Roboto" w:cs="Roboto"/>
          <w:b/>
          <w:sz w:val="20"/>
          <w:szCs w:val="20"/>
        </w:rPr>
      </w:pPr>
    </w:p>
    <w:p w14:paraId="3E85D659" w14:textId="33260182" w:rsidR="00DC7F6E" w:rsidRDefault="008F1070">
      <w:pPr>
        <w:jc w:val="both"/>
        <w:rPr>
          <w:rFonts w:ascii="Roboto" w:eastAsia="Roboto" w:hAnsi="Roboto" w:cs="Roboto"/>
          <w:b/>
          <w:sz w:val="20"/>
          <w:szCs w:val="20"/>
        </w:rPr>
      </w:pPr>
      <w:r>
        <w:rPr>
          <w:rFonts w:ascii="Roboto" w:eastAsia="Roboto" w:hAnsi="Roboto" w:cs="Roboto"/>
          <w:b/>
          <w:sz w:val="20"/>
          <w:szCs w:val="20"/>
        </w:rPr>
        <w:t>DISCUSIÓN</w:t>
      </w:r>
    </w:p>
    <w:p w14:paraId="6645A59A" w14:textId="37077747" w:rsidR="00DC7F6E" w:rsidRDefault="008F1070">
      <w:pPr>
        <w:jc w:val="both"/>
        <w:rPr>
          <w:rFonts w:ascii="Roboto" w:eastAsia="Roboto" w:hAnsi="Roboto" w:cs="Roboto"/>
          <w:sz w:val="20"/>
          <w:szCs w:val="20"/>
        </w:rPr>
      </w:pPr>
      <w:r w:rsidRPr="008F1070">
        <w:rPr>
          <w:rFonts w:ascii="Roboto" w:eastAsia="Roboto" w:hAnsi="Roboto" w:cs="Roboto"/>
          <w:sz w:val="20"/>
          <w:szCs w:val="20"/>
        </w:rPr>
        <w:t xml:space="preserve">Se argumenta que la polarización afectiva constituye uno de los principales mecanismos de erosión democrática en la actualidad, en tanto transforma la diferencia política en desconfianza interpersonal. Los datos del Edelman Trust </w:t>
      </w:r>
      <w:proofErr w:type="spellStart"/>
      <w:r w:rsidRPr="008F1070">
        <w:rPr>
          <w:rFonts w:ascii="Roboto" w:eastAsia="Roboto" w:hAnsi="Roboto" w:cs="Roboto"/>
          <w:sz w:val="20"/>
          <w:szCs w:val="20"/>
        </w:rPr>
        <w:t>Barometer</w:t>
      </w:r>
      <w:proofErr w:type="spellEnd"/>
      <w:r w:rsidRPr="008F1070">
        <w:rPr>
          <w:rFonts w:ascii="Roboto" w:eastAsia="Roboto" w:hAnsi="Roboto" w:cs="Roboto"/>
          <w:sz w:val="20"/>
          <w:szCs w:val="20"/>
        </w:rPr>
        <w:t xml:space="preserve"> ilustran cómo este clima discursivo se traduce en una creciente desconfianza hacia las instituciones y, de manera más preocupante, hacia los propios conciudadanos. La discusión subraya que, en contextos de duda mediática, la lógica del enfrentamiento se vuelve funcional al poder político, pero disfuncional para la convivencia democrática y la reconstrucción del espacio público como ámbito de diálogo</w:t>
      </w:r>
      <w:r>
        <w:rPr>
          <w:rFonts w:ascii="Roboto" w:eastAsia="Roboto" w:hAnsi="Roboto" w:cs="Roboto"/>
          <w:sz w:val="20"/>
          <w:szCs w:val="20"/>
        </w:rPr>
        <w:t>.</w:t>
      </w:r>
    </w:p>
    <w:p w14:paraId="3477A4DA" w14:textId="77777777" w:rsidR="008F1070" w:rsidRDefault="008F1070">
      <w:pPr>
        <w:jc w:val="both"/>
        <w:rPr>
          <w:rFonts w:ascii="Roboto" w:eastAsia="Roboto" w:hAnsi="Roboto" w:cs="Roboto"/>
          <w:sz w:val="20"/>
          <w:szCs w:val="20"/>
        </w:rPr>
      </w:pPr>
    </w:p>
    <w:p w14:paraId="18EF0274" w14:textId="004BAED0" w:rsidR="00DC7F6E" w:rsidRDefault="008F1070">
      <w:pPr>
        <w:jc w:val="both"/>
        <w:rPr>
          <w:rFonts w:ascii="Roboto" w:eastAsia="Roboto" w:hAnsi="Roboto" w:cs="Roboto"/>
          <w:b/>
          <w:sz w:val="20"/>
          <w:szCs w:val="20"/>
        </w:rPr>
      </w:pPr>
      <w:r>
        <w:rPr>
          <w:rFonts w:ascii="Roboto" w:eastAsia="Roboto" w:hAnsi="Roboto" w:cs="Roboto"/>
          <w:b/>
          <w:sz w:val="20"/>
          <w:szCs w:val="20"/>
        </w:rPr>
        <w:t xml:space="preserve">CONCLUSIONES </w:t>
      </w:r>
    </w:p>
    <w:p w14:paraId="73BFC1A5" w14:textId="2F597F81" w:rsidR="00DC7F6E" w:rsidRDefault="008F1070">
      <w:pPr>
        <w:jc w:val="both"/>
        <w:rPr>
          <w:rFonts w:ascii="Roboto" w:eastAsia="Roboto" w:hAnsi="Roboto" w:cs="Roboto"/>
          <w:sz w:val="20"/>
          <w:szCs w:val="20"/>
        </w:rPr>
      </w:pPr>
      <w:r w:rsidRPr="008F1070">
        <w:rPr>
          <w:rFonts w:ascii="Roboto" w:eastAsia="Roboto" w:hAnsi="Roboto" w:cs="Roboto"/>
          <w:sz w:val="20"/>
          <w:szCs w:val="20"/>
        </w:rPr>
        <w:t>La ponencia concluye que la polarización política contemporánea, cuando adopta una forma afectiva y moralizante, tiene un impacto directo en la confianza social y en la calidad de la democracia. Más que un exceso de pluralismo, se trata de una crisis de comunicación que redefine al adversario como enemigo y debilita los lazos sociales fundamentales. Finalmente, se plantea la necesidad de desarrollar enfoques críticos de la comunicación política y de la alfabetización mediática que permitan identificar y desactivar los discursos polarizadores, como condición para la reconstrucción de la confianza social en democracias atravesadas por la duda mediática.</w:t>
      </w:r>
    </w:p>
    <w:p w14:paraId="177D3C5A" w14:textId="77777777" w:rsidR="008F1070" w:rsidRDefault="008F1070">
      <w:pPr>
        <w:jc w:val="both"/>
        <w:rPr>
          <w:rFonts w:ascii="Roboto" w:eastAsia="Roboto" w:hAnsi="Roboto" w:cs="Roboto"/>
          <w:sz w:val="20"/>
          <w:szCs w:val="20"/>
        </w:rPr>
      </w:pPr>
    </w:p>
    <w:p w14:paraId="1E74BE0C" w14:textId="77777777" w:rsidR="00DC7F6E" w:rsidRDefault="009D67C9">
      <w:pPr>
        <w:jc w:val="both"/>
        <w:rPr>
          <w:rFonts w:ascii="Roboto" w:eastAsia="Roboto" w:hAnsi="Roboto" w:cs="Roboto"/>
          <w:b/>
          <w:sz w:val="20"/>
          <w:szCs w:val="20"/>
        </w:rPr>
      </w:pPr>
      <w:r>
        <w:rPr>
          <w:rFonts w:ascii="Roboto" w:eastAsia="Roboto" w:hAnsi="Roboto" w:cs="Roboto"/>
          <w:b/>
          <w:sz w:val="20"/>
          <w:szCs w:val="20"/>
        </w:rPr>
        <w:t>REFERENC</w:t>
      </w:r>
      <w:r>
        <w:rPr>
          <w:rFonts w:ascii="Roboto" w:eastAsia="Roboto" w:hAnsi="Roboto" w:cs="Roboto"/>
          <w:b/>
          <w:sz w:val="20"/>
          <w:szCs w:val="20"/>
        </w:rPr>
        <w:t>IAS (Formato APA)</w:t>
      </w:r>
    </w:p>
    <w:p w14:paraId="56CC60C4" w14:textId="79C05E3E" w:rsidR="008F1070" w:rsidRPr="008F1070" w:rsidRDefault="008F1070" w:rsidP="008F1070">
      <w:pPr>
        <w:jc w:val="both"/>
        <w:rPr>
          <w:rFonts w:ascii="Roboto" w:eastAsia="Roboto" w:hAnsi="Roboto" w:cs="Roboto"/>
          <w:sz w:val="20"/>
          <w:szCs w:val="20"/>
        </w:rPr>
      </w:pPr>
      <w:r w:rsidRPr="008F1070">
        <w:rPr>
          <w:rFonts w:ascii="Roboto" w:eastAsia="Roboto" w:hAnsi="Roboto" w:cs="Roboto"/>
          <w:sz w:val="20"/>
          <w:szCs w:val="20"/>
        </w:rPr>
        <w:t>Bobbio, N. (1986). El futuro de la democracia. Fondo de Cultura Económica.</w:t>
      </w:r>
    </w:p>
    <w:p w14:paraId="694EF45A" w14:textId="1B07D125" w:rsidR="008F1070" w:rsidRPr="008F1070" w:rsidRDefault="008F1070" w:rsidP="008F1070">
      <w:pPr>
        <w:jc w:val="both"/>
        <w:rPr>
          <w:rFonts w:ascii="Roboto" w:eastAsia="Roboto" w:hAnsi="Roboto" w:cs="Roboto"/>
          <w:sz w:val="20"/>
          <w:szCs w:val="20"/>
        </w:rPr>
      </w:pPr>
      <w:r w:rsidRPr="008F1070">
        <w:rPr>
          <w:rFonts w:ascii="Roboto" w:eastAsia="Roboto" w:hAnsi="Roboto" w:cs="Roboto"/>
          <w:sz w:val="20"/>
          <w:szCs w:val="20"/>
        </w:rPr>
        <w:t xml:space="preserve">Campbell, J. E. (2016). </w:t>
      </w:r>
      <w:proofErr w:type="spellStart"/>
      <w:r w:rsidRPr="008F1070">
        <w:rPr>
          <w:rFonts w:ascii="Roboto" w:eastAsia="Roboto" w:hAnsi="Roboto" w:cs="Roboto"/>
          <w:sz w:val="20"/>
          <w:szCs w:val="20"/>
        </w:rPr>
        <w:t>Polarized</w:t>
      </w:r>
      <w:proofErr w:type="spellEnd"/>
      <w:r w:rsidRPr="008F1070">
        <w:rPr>
          <w:rFonts w:ascii="Roboto" w:eastAsia="Roboto" w:hAnsi="Roboto" w:cs="Roboto"/>
          <w:sz w:val="20"/>
          <w:szCs w:val="20"/>
        </w:rPr>
        <w:t xml:space="preserve">: </w:t>
      </w:r>
      <w:proofErr w:type="spellStart"/>
      <w:r w:rsidRPr="008F1070">
        <w:rPr>
          <w:rFonts w:ascii="Roboto" w:eastAsia="Roboto" w:hAnsi="Roboto" w:cs="Roboto"/>
          <w:sz w:val="20"/>
          <w:szCs w:val="20"/>
        </w:rPr>
        <w:t>Making</w:t>
      </w:r>
      <w:proofErr w:type="spellEnd"/>
      <w:r w:rsidRPr="008F1070">
        <w:rPr>
          <w:rFonts w:ascii="Roboto" w:eastAsia="Roboto" w:hAnsi="Roboto" w:cs="Roboto"/>
          <w:sz w:val="20"/>
          <w:szCs w:val="20"/>
        </w:rPr>
        <w:t xml:space="preserve"> </w:t>
      </w:r>
      <w:proofErr w:type="spellStart"/>
      <w:r w:rsidRPr="008F1070">
        <w:rPr>
          <w:rFonts w:ascii="Roboto" w:eastAsia="Roboto" w:hAnsi="Roboto" w:cs="Roboto"/>
          <w:sz w:val="20"/>
          <w:szCs w:val="20"/>
        </w:rPr>
        <w:t>sense</w:t>
      </w:r>
      <w:proofErr w:type="spellEnd"/>
      <w:r w:rsidRPr="008F1070">
        <w:rPr>
          <w:rFonts w:ascii="Roboto" w:eastAsia="Roboto" w:hAnsi="Roboto" w:cs="Roboto"/>
          <w:sz w:val="20"/>
          <w:szCs w:val="20"/>
        </w:rPr>
        <w:t xml:space="preserve"> </w:t>
      </w:r>
      <w:proofErr w:type="spellStart"/>
      <w:r w:rsidRPr="008F1070">
        <w:rPr>
          <w:rFonts w:ascii="Roboto" w:eastAsia="Roboto" w:hAnsi="Roboto" w:cs="Roboto"/>
          <w:sz w:val="20"/>
          <w:szCs w:val="20"/>
        </w:rPr>
        <w:t>of</w:t>
      </w:r>
      <w:proofErr w:type="spellEnd"/>
      <w:r w:rsidRPr="008F1070">
        <w:rPr>
          <w:rFonts w:ascii="Roboto" w:eastAsia="Roboto" w:hAnsi="Roboto" w:cs="Roboto"/>
          <w:sz w:val="20"/>
          <w:szCs w:val="20"/>
        </w:rPr>
        <w:t xml:space="preserve"> a </w:t>
      </w:r>
      <w:proofErr w:type="spellStart"/>
      <w:r w:rsidRPr="008F1070">
        <w:rPr>
          <w:rFonts w:ascii="Roboto" w:eastAsia="Roboto" w:hAnsi="Roboto" w:cs="Roboto"/>
          <w:sz w:val="20"/>
          <w:szCs w:val="20"/>
        </w:rPr>
        <w:t>divided</w:t>
      </w:r>
      <w:proofErr w:type="spellEnd"/>
      <w:r w:rsidRPr="008F1070">
        <w:rPr>
          <w:rFonts w:ascii="Roboto" w:eastAsia="Roboto" w:hAnsi="Roboto" w:cs="Roboto"/>
          <w:sz w:val="20"/>
          <w:szCs w:val="20"/>
        </w:rPr>
        <w:t xml:space="preserve"> </w:t>
      </w:r>
      <w:proofErr w:type="spellStart"/>
      <w:r w:rsidRPr="008F1070">
        <w:rPr>
          <w:rFonts w:ascii="Roboto" w:eastAsia="Roboto" w:hAnsi="Roboto" w:cs="Roboto"/>
          <w:sz w:val="20"/>
          <w:szCs w:val="20"/>
        </w:rPr>
        <w:t>America</w:t>
      </w:r>
      <w:proofErr w:type="spellEnd"/>
      <w:r w:rsidRPr="008F1070">
        <w:rPr>
          <w:rFonts w:ascii="Roboto" w:eastAsia="Roboto" w:hAnsi="Roboto" w:cs="Roboto"/>
          <w:sz w:val="20"/>
          <w:szCs w:val="20"/>
        </w:rPr>
        <w:t xml:space="preserve">. Princeton </w:t>
      </w:r>
      <w:proofErr w:type="spellStart"/>
      <w:r w:rsidRPr="008F1070">
        <w:rPr>
          <w:rFonts w:ascii="Roboto" w:eastAsia="Roboto" w:hAnsi="Roboto" w:cs="Roboto"/>
          <w:sz w:val="20"/>
          <w:szCs w:val="20"/>
        </w:rPr>
        <w:t>University</w:t>
      </w:r>
      <w:proofErr w:type="spellEnd"/>
      <w:r w:rsidRPr="008F1070">
        <w:rPr>
          <w:rFonts w:ascii="Roboto" w:eastAsia="Roboto" w:hAnsi="Roboto" w:cs="Roboto"/>
          <w:sz w:val="20"/>
          <w:szCs w:val="20"/>
        </w:rPr>
        <w:t xml:space="preserve"> </w:t>
      </w:r>
      <w:proofErr w:type="spellStart"/>
      <w:r w:rsidRPr="008F1070">
        <w:rPr>
          <w:rFonts w:ascii="Roboto" w:eastAsia="Roboto" w:hAnsi="Roboto" w:cs="Roboto"/>
          <w:sz w:val="20"/>
          <w:szCs w:val="20"/>
        </w:rPr>
        <w:t>Press</w:t>
      </w:r>
      <w:proofErr w:type="spellEnd"/>
      <w:r w:rsidRPr="008F1070">
        <w:rPr>
          <w:rFonts w:ascii="Roboto" w:eastAsia="Roboto" w:hAnsi="Roboto" w:cs="Roboto"/>
          <w:sz w:val="20"/>
          <w:szCs w:val="20"/>
        </w:rPr>
        <w:t>. DOI: https://doi.org/10.1515/9781400883448</w:t>
      </w:r>
    </w:p>
    <w:p w14:paraId="42F3C21C" w14:textId="3C2E3B56" w:rsidR="00DC7F6E" w:rsidRDefault="008F1070" w:rsidP="008F1070">
      <w:pPr>
        <w:jc w:val="both"/>
        <w:rPr>
          <w:rFonts w:ascii="Roboto" w:eastAsia="Roboto" w:hAnsi="Roboto" w:cs="Roboto"/>
          <w:sz w:val="20"/>
          <w:szCs w:val="20"/>
        </w:rPr>
      </w:pPr>
      <w:proofErr w:type="spellStart"/>
      <w:r w:rsidRPr="008F1070">
        <w:rPr>
          <w:rFonts w:ascii="Roboto" w:eastAsia="Roboto" w:hAnsi="Roboto" w:cs="Roboto"/>
          <w:sz w:val="20"/>
          <w:szCs w:val="20"/>
        </w:rPr>
        <w:t>Güvercin</w:t>
      </w:r>
      <w:proofErr w:type="spellEnd"/>
      <w:r w:rsidRPr="008F1070">
        <w:rPr>
          <w:rFonts w:ascii="Roboto" w:eastAsia="Roboto" w:hAnsi="Roboto" w:cs="Roboto"/>
          <w:sz w:val="20"/>
          <w:szCs w:val="20"/>
        </w:rPr>
        <w:t xml:space="preserve">, D. (2022). </w:t>
      </w:r>
      <w:proofErr w:type="spellStart"/>
      <w:r w:rsidRPr="008F1070">
        <w:rPr>
          <w:rFonts w:ascii="Roboto" w:eastAsia="Roboto" w:hAnsi="Roboto" w:cs="Roboto"/>
          <w:sz w:val="20"/>
          <w:szCs w:val="20"/>
        </w:rPr>
        <w:t>Digitalization</w:t>
      </w:r>
      <w:proofErr w:type="spellEnd"/>
      <w:r w:rsidRPr="008F1070">
        <w:rPr>
          <w:rFonts w:ascii="Roboto" w:eastAsia="Roboto" w:hAnsi="Roboto" w:cs="Roboto"/>
          <w:sz w:val="20"/>
          <w:szCs w:val="20"/>
        </w:rPr>
        <w:t xml:space="preserve"> and </w:t>
      </w:r>
      <w:proofErr w:type="spellStart"/>
      <w:r w:rsidRPr="008F1070">
        <w:rPr>
          <w:rFonts w:ascii="Roboto" w:eastAsia="Roboto" w:hAnsi="Roboto" w:cs="Roboto"/>
          <w:sz w:val="20"/>
          <w:szCs w:val="20"/>
        </w:rPr>
        <w:t>populism</w:t>
      </w:r>
      <w:proofErr w:type="spellEnd"/>
      <w:r w:rsidRPr="008F1070">
        <w:rPr>
          <w:rFonts w:ascii="Roboto" w:eastAsia="Roboto" w:hAnsi="Roboto" w:cs="Roboto"/>
          <w:sz w:val="20"/>
          <w:szCs w:val="20"/>
        </w:rPr>
        <w:t xml:space="preserve">: Cross-country </w:t>
      </w:r>
      <w:proofErr w:type="spellStart"/>
      <w:r w:rsidRPr="008F1070">
        <w:rPr>
          <w:rFonts w:ascii="Roboto" w:eastAsia="Roboto" w:hAnsi="Roboto" w:cs="Roboto"/>
          <w:sz w:val="20"/>
          <w:szCs w:val="20"/>
        </w:rPr>
        <w:t>evidence</w:t>
      </w:r>
      <w:proofErr w:type="spellEnd"/>
      <w:r w:rsidRPr="008F1070">
        <w:rPr>
          <w:rFonts w:ascii="Roboto" w:eastAsia="Roboto" w:hAnsi="Roboto" w:cs="Roboto"/>
          <w:sz w:val="20"/>
          <w:szCs w:val="20"/>
        </w:rPr>
        <w:t xml:space="preserve">. </w:t>
      </w:r>
      <w:proofErr w:type="spellStart"/>
      <w:r w:rsidRPr="008F1070">
        <w:rPr>
          <w:rFonts w:ascii="Roboto" w:eastAsia="Roboto" w:hAnsi="Roboto" w:cs="Roboto"/>
          <w:sz w:val="20"/>
          <w:szCs w:val="20"/>
        </w:rPr>
        <w:t>Technology</w:t>
      </w:r>
      <w:proofErr w:type="spellEnd"/>
      <w:r w:rsidRPr="008F1070">
        <w:rPr>
          <w:rFonts w:ascii="Roboto" w:eastAsia="Roboto" w:hAnsi="Roboto" w:cs="Roboto"/>
          <w:sz w:val="20"/>
          <w:szCs w:val="20"/>
        </w:rPr>
        <w:t xml:space="preserve"> and </w:t>
      </w:r>
      <w:proofErr w:type="spellStart"/>
      <w:r w:rsidRPr="008F1070">
        <w:rPr>
          <w:rFonts w:ascii="Roboto" w:eastAsia="Roboto" w:hAnsi="Roboto" w:cs="Roboto"/>
          <w:sz w:val="20"/>
          <w:szCs w:val="20"/>
        </w:rPr>
        <w:t>Society</w:t>
      </w:r>
      <w:proofErr w:type="spellEnd"/>
      <w:r w:rsidRPr="008F1070">
        <w:rPr>
          <w:rFonts w:ascii="Roboto" w:eastAsia="Roboto" w:hAnsi="Roboto" w:cs="Roboto"/>
          <w:sz w:val="20"/>
          <w:szCs w:val="20"/>
        </w:rPr>
        <w:t>, 68, 101802.</w:t>
      </w:r>
    </w:p>
    <w:p w14:paraId="615F885E" w14:textId="55DD11C2" w:rsidR="008F1070" w:rsidRDefault="008F1070" w:rsidP="008F1070">
      <w:pPr>
        <w:jc w:val="both"/>
        <w:rPr>
          <w:rFonts w:ascii="Roboto" w:eastAsia="Roboto" w:hAnsi="Roboto" w:cs="Roboto"/>
          <w:sz w:val="20"/>
          <w:szCs w:val="20"/>
        </w:rPr>
      </w:pPr>
      <w:r w:rsidRPr="008F1070">
        <w:rPr>
          <w:rFonts w:ascii="Roboto" w:eastAsia="Roboto" w:hAnsi="Roboto" w:cs="Roboto"/>
          <w:sz w:val="20"/>
          <w:szCs w:val="20"/>
        </w:rPr>
        <w:t xml:space="preserve">Laclau, E. (2005). </w:t>
      </w:r>
      <w:proofErr w:type="spellStart"/>
      <w:r w:rsidRPr="008F1070">
        <w:rPr>
          <w:rFonts w:ascii="Roboto" w:eastAsia="Roboto" w:hAnsi="Roboto" w:cs="Roboto"/>
          <w:sz w:val="20"/>
          <w:szCs w:val="20"/>
        </w:rPr>
        <w:t>On</w:t>
      </w:r>
      <w:proofErr w:type="spellEnd"/>
      <w:r w:rsidRPr="008F1070">
        <w:rPr>
          <w:rFonts w:ascii="Roboto" w:eastAsia="Roboto" w:hAnsi="Roboto" w:cs="Roboto"/>
          <w:sz w:val="20"/>
          <w:szCs w:val="20"/>
        </w:rPr>
        <w:t xml:space="preserve"> </w:t>
      </w:r>
      <w:proofErr w:type="spellStart"/>
      <w:r w:rsidRPr="008F1070">
        <w:rPr>
          <w:rFonts w:ascii="Roboto" w:eastAsia="Roboto" w:hAnsi="Roboto" w:cs="Roboto"/>
          <w:sz w:val="20"/>
          <w:szCs w:val="20"/>
        </w:rPr>
        <w:t>Populist</w:t>
      </w:r>
      <w:proofErr w:type="spellEnd"/>
      <w:r w:rsidRPr="008F1070">
        <w:rPr>
          <w:rFonts w:ascii="Roboto" w:eastAsia="Roboto" w:hAnsi="Roboto" w:cs="Roboto"/>
          <w:sz w:val="20"/>
          <w:szCs w:val="20"/>
        </w:rPr>
        <w:t xml:space="preserve"> Reason. Verso.</w:t>
      </w:r>
    </w:p>
    <w:p w14:paraId="1CFF2635" w14:textId="4A4555BE" w:rsidR="008F1070" w:rsidRDefault="008F1070" w:rsidP="008F1070">
      <w:pPr>
        <w:jc w:val="both"/>
        <w:rPr>
          <w:rFonts w:ascii="Roboto" w:eastAsia="Roboto" w:hAnsi="Roboto" w:cs="Roboto"/>
          <w:sz w:val="20"/>
          <w:szCs w:val="20"/>
        </w:rPr>
      </w:pPr>
      <w:r w:rsidRPr="008F1070">
        <w:rPr>
          <w:rFonts w:ascii="Roboto" w:eastAsia="Roboto" w:hAnsi="Roboto" w:cs="Roboto"/>
          <w:sz w:val="20"/>
          <w:szCs w:val="20"/>
        </w:rPr>
        <w:t>McCoy, J. (2022). Reflexiones sobre el populismo y la polarización en América Latina y sus consecuencias para la democracia. Desafíos, 34(2), 1-19.</w:t>
      </w:r>
    </w:p>
    <w:p w14:paraId="60F74312" w14:textId="019F01E6" w:rsidR="008F1070" w:rsidRDefault="008F1070" w:rsidP="008F1070">
      <w:pPr>
        <w:jc w:val="both"/>
        <w:rPr>
          <w:rFonts w:ascii="Roboto" w:eastAsia="Roboto" w:hAnsi="Roboto" w:cs="Roboto"/>
          <w:sz w:val="20"/>
          <w:szCs w:val="20"/>
        </w:rPr>
      </w:pPr>
      <w:proofErr w:type="spellStart"/>
      <w:r w:rsidRPr="008F1070">
        <w:rPr>
          <w:rFonts w:ascii="Roboto" w:eastAsia="Roboto" w:hAnsi="Roboto" w:cs="Roboto"/>
          <w:sz w:val="20"/>
          <w:szCs w:val="20"/>
        </w:rPr>
        <w:t>Moffitt</w:t>
      </w:r>
      <w:proofErr w:type="spellEnd"/>
      <w:r w:rsidRPr="008F1070">
        <w:rPr>
          <w:rFonts w:ascii="Roboto" w:eastAsia="Roboto" w:hAnsi="Roboto" w:cs="Roboto"/>
          <w:sz w:val="20"/>
          <w:szCs w:val="20"/>
        </w:rPr>
        <w:t xml:space="preserve">, B. (2016). </w:t>
      </w:r>
      <w:proofErr w:type="spellStart"/>
      <w:r w:rsidRPr="008F1070">
        <w:rPr>
          <w:rFonts w:ascii="Roboto" w:eastAsia="Roboto" w:hAnsi="Roboto" w:cs="Roboto"/>
          <w:sz w:val="20"/>
          <w:szCs w:val="20"/>
        </w:rPr>
        <w:t>The</w:t>
      </w:r>
      <w:proofErr w:type="spellEnd"/>
      <w:r w:rsidRPr="008F1070">
        <w:rPr>
          <w:rFonts w:ascii="Roboto" w:eastAsia="Roboto" w:hAnsi="Roboto" w:cs="Roboto"/>
          <w:sz w:val="20"/>
          <w:szCs w:val="20"/>
        </w:rPr>
        <w:t xml:space="preserve"> Global </w:t>
      </w:r>
      <w:proofErr w:type="spellStart"/>
      <w:r w:rsidRPr="008F1070">
        <w:rPr>
          <w:rFonts w:ascii="Roboto" w:eastAsia="Roboto" w:hAnsi="Roboto" w:cs="Roboto"/>
          <w:sz w:val="20"/>
          <w:szCs w:val="20"/>
        </w:rPr>
        <w:t>Rise</w:t>
      </w:r>
      <w:proofErr w:type="spellEnd"/>
      <w:r w:rsidRPr="008F1070">
        <w:rPr>
          <w:rFonts w:ascii="Roboto" w:eastAsia="Roboto" w:hAnsi="Roboto" w:cs="Roboto"/>
          <w:sz w:val="20"/>
          <w:szCs w:val="20"/>
        </w:rPr>
        <w:t xml:space="preserve"> </w:t>
      </w:r>
      <w:proofErr w:type="spellStart"/>
      <w:r w:rsidRPr="008F1070">
        <w:rPr>
          <w:rFonts w:ascii="Roboto" w:eastAsia="Roboto" w:hAnsi="Roboto" w:cs="Roboto"/>
          <w:sz w:val="20"/>
          <w:szCs w:val="20"/>
        </w:rPr>
        <w:t>of</w:t>
      </w:r>
      <w:proofErr w:type="spellEnd"/>
      <w:r w:rsidRPr="008F1070">
        <w:rPr>
          <w:rFonts w:ascii="Roboto" w:eastAsia="Roboto" w:hAnsi="Roboto" w:cs="Roboto"/>
          <w:sz w:val="20"/>
          <w:szCs w:val="20"/>
        </w:rPr>
        <w:t xml:space="preserve"> </w:t>
      </w:r>
      <w:proofErr w:type="spellStart"/>
      <w:r w:rsidRPr="008F1070">
        <w:rPr>
          <w:rFonts w:ascii="Roboto" w:eastAsia="Roboto" w:hAnsi="Roboto" w:cs="Roboto"/>
          <w:sz w:val="20"/>
          <w:szCs w:val="20"/>
        </w:rPr>
        <w:t>Populism</w:t>
      </w:r>
      <w:proofErr w:type="spellEnd"/>
      <w:r w:rsidRPr="008F1070">
        <w:rPr>
          <w:rFonts w:ascii="Roboto" w:eastAsia="Roboto" w:hAnsi="Roboto" w:cs="Roboto"/>
          <w:sz w:val="20"/>
          <w:szCs w:val="20"/>
        </w:rPr>
        <w:t xml:space="preserve">: Performance, </w:t>
      </w:r>
      <w:proofErr w:type="spellStart"/>
      <w:r w:rsidRPr="008F1070">
        <w:rPr>
          <w:rFonts w:ascii="Roboto" w:eastAsia="Roboto" w:hAnsi="Roboto" w:cs="Roboto"/>
          <w:sz w:val="20"/>
          <w:szCs w:val="20"/>
        </w:rPr>
        <w:t>Political</w:t>
      </w:r>
      <w:proofErr w:type="spellEnd"/>
      <w:r w:rsidRPr="008F1070">
        <w:rPr>
          <w:rFonts w:ascii="Roboto" w:eastAsia="Roboto" w:hAnsi="Roboto" w:cs="Roboto"/>
          <w:sz w:val="20"/>
          <w:szCs w:val="20"/>
        </w:rPr>
        <w:t xml:space="preserve"> Style, and </w:t>
      </w:r>
      <w:proofErr w:type="spellStart"/>
      <w:r w:rsidRPr="008F1070">
        <w:rPr>
          <w:rFonts w:ascii="Roboto" w:eastAsia="Roboto" w:hAnsi="Roboto" w:cs="Roboto"/>
          <w:sz w:val="20"/>
          <w:szCs w:val="20"/>
        </w:rPr>
        <w:t>Representation</w:t>
      </w:r>
      <w:proofErr w:type="spellEnd"/>
      <w:r w:rsidRPr="008F1070">
        <w:rPr>
          <w:rFonts w:ascii="Roboto" w:eastAsia="Roboto" w:hAnsi="Roboto" w:cs="Roboto"/>
          <w:sz w:val="20"/>
          <w:szCs w:val="20"/>
        </w:rPr>
        <w:t xml:space="preserve">. Stanford </w:t>
      </w:r>
      <w:proofErr w:type="spellStart"/>
      <w:r w:rsidRPr="008F1070">
        <w:rPr>
          <w:rFonts w:ascii="Roboto" w:eastAsia="Roboto" w:hAnsi="Roboto" w:cs="Roboto"/>
          <w:sz w:val="20"/>
          <w:szCs w:val="20"/>
        </w:rPr>
        <w:t>University</w:t>
      </w:r>
      <w:proofErr w:type="spellEnd"/>
      <w:r w:rsidRPr="008F1070">
        <w:rPr>
          <w:rFonts w:ascii="Roboto" w:eastAsia="Roboto" w:hAnsi="Roboto" w:cs="Roboto"/>
          <w:sz w:val="20"/>
          <w:szCs w:val="20"/>
        </w:rPr>
        <w:t xml:space="preserve"> </w:t>
      </w:r>
      <w:proofErr w:type="spellStart"/>
      <w:r w:rsidRPr="008F1070">
        <w:rPr>
          <w:rFonts w:ascii="Roboto" w:eastAsia="Roboto" w:hAnsi="Roboto" w:cs="Roboto"/>
          <w:sz w:val="20"/>
          <w:szCs w:val="20"/>
        </w:rPr>
        <w:t>Press</w:t>
      </w:r>
      <w:proofErr w:type="spellEnd"/>
      <w:r w:rsidRPr="008F1070">
        <w:rPr>
          <w:rFonts w:ascii="Roboto" w:eastAsia="Roboto" w:hAnsi="Roboto" w:cs="Roboto"/>
          <w:sz w:val="20"/>
          <w:szCs w:val="20"/>
        </w:rPr>
        <w:t>.</w:t>
      </w:r>
    </w:p>
    <w:p w14:paraId="4C1874B3" w14:textId="1E7B0D6C" w:rsidR="008F1070" w:rsidRPr="008F1070" w:rsidRDefault="008F1070" w:rsidP="008F1070">
      <w:pPr>
        <w:jc w:val="both"/>
        <w:rPr>
          <w:rFonts w:ascii="Roboto" w:eastAsia="Roboto" w:hAnsi="Roboto" w:cs="Roboto"/>
          <w:sz w:val="20"/>
          <w:szCs w:val="20"/>
        </w:rPr>
      </w:pPr>
      <w:r w:rsidRPr="008F1070">
        <w:rPr>
          <w:rFonts w:ascii="Roboto" w:eastAsia="Roboto" w:hAnsi="Roboto" w:cs="Roboto"/>
          <w:sz w:val="20"/>
          <w:szCs w:val="20"/>
        </w:rPr>
        <w:t>Ruiz-Méndez, A. (16 de octubre de 2023) La paradoja de las burbujas informativas. Este País. https://estepais.com/tendencias_y_opiniones/paradoja-burbujas-informativas/</w:t>
      </w:r>
    </w:p>
    <w:sectPr w:rsidR="008F1070" w:rsidRPr="008F1070">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AE3CDD" w14:textId="77777777" w:rsidR="009D67C9" w:rsidRDefault="009D67C9">
      <w:r>
        <w:separator/>
      </w:r>
    </w:p>
  </w:endnote>
  <w:endnote w:type="continuationSeparator" w:id="0">
    <w:p w14:paraId="0E69ADF4" w14:textId="77777777" w:rsidR="009D67C9" w:rsidRDefault="009D67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Roboto">
    <w:charset w:val="00"/>
    <w:family w:val="auto"/>
    <w:pitch w:val="variable"/>
    <w:sig w:usb0="E00002FF" w:usb1="5000205B" w:usb2="0000002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800900" w14:textId="77777777" w:rsidR="009D67C9" w:rsidRDefault="009D67C9">
      <w:r>
        <w:separator/>
      </w:r>
    </w:p>
  </w:footnote>
  <w:footnote w:type="continuationSeparator" w:id="0">
    <w:p w14:paraId="36B7E78F" w14:textId="77777777" w:rsidR="009D67C9" w:rsidRDefault="009D67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AB8FFB" w14:textId="77777777" w:rsidR="00DC7F6E" w:rsidRDefault="00DC7F6E">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DC7F6E" w14:paraId="1F08D43D" w14:textId="77777777">
      <w:trPr>
        <w:trHeight w:val="345"/>
        <w:jc w:val="center"/>
      </w:trPr>
      <w:tc>
        <w:tcPr>
          <w:tcW w:w="6306" w:type="dxa"/>
          <w:vAlign w:val="center"/>
        </w:tcPr>
        <w:p w14:paraId="43BF5ABD" w14:textId="77777777" w:rsidR="00DC7F6E" w:rsidRDefault="00DC7F6E">
          <w:pPr>
            <w:jc w:val="center"/>
            <w:rPr>
              <w:i/>
              <w:sz w:val="18"/>
              <w:szCs w:val="18"/>
            </w:rPr>
          </w:pPr>
        </w:p>
      </w:tc>
    </w:tr>
  </w:tbl>
  <w:p w14:paraId="30C2D7E4" w14:textId="77777777" w:rsidR="00DC7F6E" w:rsidRDefault="00DC7F6E">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7F6E"/>
    <w:rsid w:val="004E7D44"/>
    <w:rsid w:val="007D1BE5"/>
    <w:rsid w:val="008F1070"/>
    <w:rsid w:val="009D67C9"/>
    <w:rsid w:val="00DC7F6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3E237A"/>
  <w15:docId w15:val="{C4D5C1B2-9284-45E0-8A92-5CD2171E4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81121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770</Words>
  <Characters>4240</Characters>
  <Application>Microsoft Office Word</Application>
  <DocSecurity>0</DocSecurity>
  <Lines>35</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Alberto Fernando Ruíz Méndez</cp:lastModifiedBy>
  <cp:revision>2</cp:revision>
  <dcterms:created xsi:type="dcterms:W3CDTF">2025-09-09T17:06:00Z</dcterms:created>
  <dcterms:modified xsi:type="dcterms:W3CDTF">2026-01-30T18:14:00Z</dcterms:modified>
</cp:coreProperties>
</file>