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95CE0" w14:textId="77777777" w:rsidR="00874BBE" w:rsidRDefault="0028420D">
      <w:pPr>
        <w:pBdr>
          <w:top w:val="nil"/>
          <w:left w:val="nil"/>
          <w:bottom w:val="nil"/>
          <w:right w:val="nil"/>
          <w:between w:val="nil"/>
        </w:pBdr>
        <w:spacing w:before="120" w:after="120"/>
        <w:jc w:val="center"/>
        <w:rPr>
          <w:rFonts w:ascii="Roboto" w:eastAsia="Roboto" w:hAnsi="Roboto" w:cs="Roboto"/>
          <w:b/>
          <w:color w:val="000000"/>
        </w:rPr>
      </w:pPr>
      <w:r w:rsidRPr="0028420D">
        <w:rPr>
          <w:rFonts w:ascii="Roboto" w:eastAsia="Roboto" w:hAnsi="Roboto" w:cs="Roboto"/>
          <w:b/>
          <w:color w:val="000000"/>
        </w:rPr>
        <w:t>ANÁLISIS DE LA EFICACIA DE LA MEDIACIÓN Y CONCILIACIÓN COMO HERRAMIENTAS DE LOS MEDIOS ALTERNATIVOS DE SOLUCIÓN DE CONFLICTOS EN LA JUSTICIA INDÍGENA DE QUINTANA ROO: UN ENFOQUE CONTEXTUAL</w:t>
      </w:r>
    </w:p>
    <w:p w14:paraId="0BC9D2A7" w14:textId="64FDF92C" w:rsidR="00A27911" w:rsidRDefault="00874BBE">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Elizondo-Paredes Luis Constantino</w:t>
      </w:r>
      <w:r w:rsidR="00DB7BFF">
        <w:rPr>
          <w:rFonts w:ascii="Roboto" w:eastAsia="Roboto" w:hAnsi="Roboto" w:cs="Roboto"/>
          <w:b/>
          <w:color w:val="000000"/>
          <w:sz w:val="20"/>
          <w:szCs w:val="20"/>
          <w:vertAlign w:val="superscript"/>
        </w:rPr>
        <w:t>1</w:t>
      </w:r>
    </w:p>
    <w:p w14:paraId="6881D2A2" w14:textId="77777777" w:rsidR="00391C8B" w:rsidRDefault="00DB7BFF">
      <w:pPr>
        <w:pBdr>
          <w:top w:val="nil"/>
          <w:left w:val="nil"/>
          <w:bottom w:val="nil"/>
          <w:right w:val="nil"/>
          <w:between w:val="nil"/>
        </w:pBdr>
        <w:jc w:val="center"/>
        <w:rPr>
          <w:rFonts w:ascii="Roboto" w:eastAsia="Roboto" w:hAnsi="Roboto" w:cs="Roboto"/>
          <w:color w:val="000000"/>
          <w:sz w:val="18"/>
          <w:szCs w:val="18"/>
        </w:rPr>
      </w:pPr>
      <w:r w:rsidRPr="007C419B">
        <w:rPr>
          <w:rFonts w:ascii="Roboto" w:eastAsia="Roboto" w:hAnsi="Roboto" w:cs="Roboto"/>
          <w:color w:val="000000"/>
          <w:sz w:val="18"/>
          <w:szCs w:val="18"/>
          <w:vertAlign w:val="superscript"/>
        </w:rPr>
        <w:t>1</w:t>
      </w:r>
      <w:r w:rsidR="00B91DEF" w:rsidRPr="007C419B">
        <w:rPr>
          <w:rFonts w:ascii="Roboto" w:hAnsi="Roboto"/>
          <w:sz w:val="18"/>
          <w:szCs w:val="18"/>
        </w:rPr>
        <w:t xml:space="preserve"> </w:t>
      </w:r>
      <w:r w:rsidR="002D482F" w:rsidRPr="007C419B">
        <w:rPr>
          <w:rFonts w:ascii="Roboto" w:hAnsi="Roboto"/>
          <w:sz w:val="18"/>
          <w:szCs w:val="18"/>
        </w:rPr>
        <w:t>Profesor-Investigador</w:t>
      </w:r>
      <w:r w:rsidR="00391C8B">
        <w:rPr>
          <w:rFonts w:ascii="Roboto" w:hAnsi="Roboto"/>
          <w:sz w:val="18"/>
          <w:szCs w:val="18"/>
        </w:rPr>
        <w:t>-U</w:t>
      </w:r>
      <w:r w:rsidR="00F94544" w:rsidRPr="007C419B">
        <w:rPr>
          <w:rFonts w:ascii="Roboto" w:eastAsia="Roboto" w:hAnsi="Roboto" w:cs="Roboto"/>
          <w:color w:val="000000"/>
          <w:sz w:val="18"/>
          <w:szCs w:val="18"/>
        </w:rPr>
        <w:t>niversidad Anáhuac Cancún</w:t>
      </w:r>
    </w:p>
    <w:p w14:paraId="0BC9D2A8" w14:textId="11439397" w:rsidR="00A27911" w:rsidRPr="007C419B" w:rsidRDefault="00F94544">
      <w:pPr>
        <w:pBdr>
          <w:top w:val="nil"/>
          <w:left w:val="nil"/>
          <w:bottom w:val="nil"/>
          <w:right w:val="nil"/>
          <w:between w:val="nil"/>
        </w:pBdr>
        <w:jc w:val="center"/>
        <w:rPr>
          <w:rFonts w:ascii="Roboto" w:eastAsia="Roboto" w:hAnsi="Roboto" w:cs="Roboto"/>
          <w:color w:val="000000"/>
          <w:sz w:val="18"/>
          <w:szCs w:val="18"/>
          <w:vertAlign w:val="superscript"/>
        </w:rPr>
      </w:pPr>
      <w:r w:rsidRPr="007C419B">
        <w:rPr>
          <w:rFonts w:ascii="Roboto" w:eastAsia="Roboto" w:hAnsi="Roboto" w:cs="Roboto"/>
          <w:color w:val="000000"/>
          <w:sz w:val="18"/>
          <w:szCs w:val="18"/>
        </w:rPr>
        <w:t>https://orcid.org/0009-0002-7522-6816</w:t>
      </w:r>
    </w:p>
    <w:p w14:paraId="0BC9D2AA" w14:textId="4554CE6B" w:rsidR="00A27911" w:rsidRPr="007C419B" w:rsidRDefault="00F94544">
      <w:pPr>
        <w:jc w:val="center"/>
        <w:rPr>
          <w:rFonts w:ascii="Roboto" w:eastAsia="Roboto" w:hAnsi="Roboto" w:cs="Roboto"/>
          <w:sz w:val="18"/>
          <w:szCs w:val="18"/>
        </w:rPr>
      </w:pPr>
      <w:r w:rsidRPr="007C419B">
        <w:rPr>
          <w:rFonts w:ascii="Roboto" w:eastAsia="Roboto" w:hAnsi="Roboto" w:cs="Roboto"/>
          <w:sz w:val="18"/>
          <w:szCs w:val="18"/>
        </w:rPr>
        <w:t>luis.elizondo</w:t>
      </w:r>
      <w:r w:rsidRPr="007C419B">
        <w:rPr>
          <w:rFonts w:ascii="Roboto" w:eastAsia="Roboto" w:hAnsi="Roboto" w:cs="Arial"/>
          <w:sz w:val="18"/>
          <w:szCs w:val="18"/>
        </w:rPr>
        <w:t>@</w:t>
      </w:r>
      <w:r w:rsidRPr="007C419B">
        <w:rPr>
          <w:rFonts w:ascii="Roboto" w:eastAsia="Roboto" w:hAnsi="Roboto" w:cs="Roboto"/>
          <w:sz w:val="18"/>
          <w:szCs w:val="18"/>
        </w:rPr>
        <w:t>anahuac.mx</w:t>
      </w:r>
    </w:p>
    <w:p w14:paraId="0BC9D2AB" w14:textId="77777777" w:rsidR="00A27911" w:rsidRDefault="00000000">
      <w:pPr>
        <w:spacing w:before="60"/>
        <w:jc w:val="center"/>
        <w:rPr>
          <w:rFonts w:ascii="Roboto" w:eastAsia="Roboto" w:hAnsi="Roboto" w:cs="Roboto"/>
          <w:sz w:val="18"/>
          <w:szCs w:val="18"/>
        </w:rPr>
        <w:sectPr w:rsidR="00A27911">
          <w:headerReference w:type="default" r:id="rId7"/>
          <w:pgSz w:w="11906" w:h="16838"/>
          <w:pgMar w:top="851" w:right="851" w:bottom="828" w:left="851" w:header="357" w:footer="720" w:gutter="0"/>
          <w:pgNumType w:start="1"/>
          <w:cols w:space="720"/>
        </w:sectPr>
      </w:pPr>
      <w:r>
        <w:pict w14:anchorId="0BC9D2D3">
          <v:rect id="_x0000_i1025" style="width:0;height:1.5pt" o:hralign="center" o:hrstd="t" o:hr="t" fillcolor="#a0a0a0" stroked="f"/>
        </w:pict>
      </w:r>
    </w:p>
    <w:p w14:paraId="0BC9D2AC" w14:textId="40893F73" w:rsidR="00A27911" w:rsidRDefault="007C3A36">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 xml:space="preserve">I. </w:t>
      </w:r>
      <w:r w:rsidR="00C93E0E">
        <w:rPr>
          <w:rFonts w:ascii="Roboto" w:eastAsia="Roboto" w:hAnsi="Roboto" w:cs="Roboto"/>
          <w:b/>
          <w:color w:val="000000"/>
          <w:sz w:val="20"/>
          <w:szCs w:val="20"/>
        </w:rPr>
        <w:t>Introducción</w:t>
      </w:r>
    </w:p>
    <w:p w14:paraId="7FACE360" w14:textId="30D4E52A" w:rsidR="00727644" w:rsidRPr="00727644" w:rsidRDefault="00727644" w:rsidP="00727644">
      <w:pPr>
        <w:pBdr>
          <w:top w:val="nil"/>
          <w:left w:val="nil"/>
          <w:bottom w:val="nil"/>
          <w:right w:val="nil"/>
          <w:between w:val="nil"/>
        </w:pBdr>
        <w:jc w:val="both"/>
        <w:rPr>
          <w:rFonts w:ascii="Roboto" w:eastAsia="Roboto" w:hAnsi="Roboto" w:cs="Roboto"/>
          <w:color w:val="000000"/>
          <w:sz w:val="20"/>
          <w:szCs w:val="20"/>
        </w:rPr>
      </w:pPr>
      <w:r w:rsidRPr="00727644">
        <w:rPr>
          <w:rFonts w:ascii="Roboto" w:eastAsia="Roboto" w:hAnsi="Roboto" w:cs="Roboto"/>
          <w:color w:val="000000"/>
          <w:sz w:val="20"/>
          <w:szCs w:val="20"/>
        </w:rPr>
        <w:t xml:space="preserve">Desde 1997, </w:t>
      </w:r>
      <w:r w:rsidR="00DF118D">
        <w:rPr>
          <w:rFonts w:ascii="Roboto" w:eastAsia="Roboto" w:hAnsi="Roboto" w:cs="Roboto"/>
          <w:color w:val="000000"/>
          <w:sz w:val="20"/>
          <w:szCs w:val="20"/>
        </w:rPr>
        <w:t>Quintana Roo</w:t>
      </w:r>
      <w:r w:rsidRPr="00727644">
        <w:rPr>
          <w:rFonts w:ascii="Roboto" w:eastAsia="Roboto" w:hAnsi="Roboto" w:cs="Roboto"/>
          <w:color w:val="000000"/>
          <w:sz w:val="20"/>
          <w:szCs w:val="20"/>
        </w:rPr>
        <w:t xml:space="preserve"> integró formalmente </w:t>
      </w:r>
      <w:r w:rsidR="00DF118D" w:rsidRPr="00727644">
        <w:rPr>
          <w:rFonts w:ascii="Roboto" w:eastAsia="Roboto" w:hAnsi="Roboto" w:cs="Roboto"/>
          <w:color w:val="000000"/>
          <w:sz w:val="20"/>
          <w:szCs w:val="20"/>
        </w:rPr>
        <w:t xml:space="preserve">los sistemas de impartición de justicia en México, particularmente en materia de resolución de conflictos, oralidad y mecanismos alternativos. </w:t>
      </w:r>
      <w:r w:rsidRPr="00727644">
        <w:rPr>
          <w:rFonts w:ascii="Roboto" w:eastAsia="Roboto" w:hAnsi="Roboto" w:cs="Roboto"/>
          <w:color w:val="000000"/>
          <w:sz w:val="20"/>
          <w:szCs w:val="20"/>
        </w:rPr>
        <w:t>estos mecanismos, alineándose tanto a las exigencias del derecho internacional como a las necesidades locales, especialmente en comunidades indígenas. La Ley de Justicia Alternativa del Estado consolidó la conciliación como un proceso pacífico, voluntario y equitativo, facilitado por un tercero imparcial, capaz de generar acuerdos justos mediante la comunicación efectiva y el consenso.</w:t>
      </w:r>
    </w:p>
    <w:p w14:paraId="0BC9D2AE" w14:textId="0030D310" w:rsidR="00A27911" w:rsidRDefault="00727644">
      <w:pPr>
        <w:pBdr>
          <w:top w:val="nil"/>
          <w:left w:val="nil"/>
          <w:bottom w:val="nil"/>
          <w:right w:val="nil"/>
          <w:between w:val="nil"/>
        </w:pBdr>
        <w:jc w:val="both"/>
        <w:rPr>
          <w:rFonts w:ascii="Roboto" w:eastAsia="Roboto" w:hAnsi="Roboto" w:cs="Roboto"/>
          <w:color w:val="000000"/>
          <w:sz w:val="20"/>
          <w:szCs w:val="20"/>
        </w:rPr>
      </w:pPr>
      <w:r w:rsidRPr="00727644">
        <w:rPr>
          <w:rFonts w:ascii="Roboto" w:eastAsia="Roboto" w:hAnsi="Roboto" w:cs="Roboto"/>
          <w:color w:val="000000"/>
          <w:sz w:val="20"/>
          <w:szCs w:val="20"/>
        </w:rPr>
        <w:t xml:space="preserve">De manera paralela, el reconocimiento de los derechos de los pueblos indígenas y de sus sistemas normativos propios permitió la institucionalización de los Juzgados Tradicionales Mayas a partir de 1998, bajo la supervisión del Consejo de la Judicatura de Justicia Indígena. Estos juzgados han demostrado una alta eficacia en la resolución de conflictos familiares, vecinales, comunitarios, civiles y administrativos, sustentados en la oralidad, la conciliación y el respeto a los usos y costumbres mayas. </w:t>
      </w:r>
    </w:p>
    <w:p w14:paraId="4A55C05A" w14:textId="77777777" w:rsidR="00DF118D" w:rsidRDefault="00DF118D">
      <w:pPr>
        <w:pBdr>
          <w:top w:val="nil"/>
          <w:left w:val="nil"/>
          <w:bottom w:val="nil"/>
          <w:right w:val="nil"/>
          <w:between w:val="nil"/>
        </w:pBdr>
        <w:jc w:val="both"/>
        <w:rPr>
          <w:rFonts w:ascii="Roboto" w:eastAsia="Roboto" w:hAnsi="Roboto" w:cs="Roboto"/>
          <w:b/>
          <w:color w:val="000000"/>
          <w:sz w:val="20"/>
          <w:szCs w:val="20"/>
        </w:rPr>
      </w:pPr>
    </w:p>
    <w:p w14:paraId="4DF3CC65" w14:textId="1CF51623" w:rsidR="007C3A36" w:rsidRDefault="007C3A36">
      <w:pPr>
        <w:pBdr>
          <w:top w:val="nil"/>
          <w:left w:val="nil"/>
          <w:bottom w:val="nil"/>
          <w:right w:val="nil"/>
          <w:between w:val="nil"/>
        </w:pBdr>
        <w:jc w:val="both"/>
        <w:rPr>
          <w:rFonts w:ascii="Roboto" w:eastAsia="Roboto" w:hAnsi="Roboto" w:cs="Roboto"/>
          <w:b/>
          <w:color w:val="000000"/>
          <w:sz w:val="20"/>
          <w:szCs w:val="20"/>
        </w:rPr>
      </w:pPr>
      <w:r w:rsidRPr="007C3A36">
        <w:rPr>
          <w:rFonts w:ascii="Roboto" w:eastAsia="Roboto" w:hAnsi="Roboto" w:cs="Roboto"/>
          <w:b/>
          <w:color w:val="000000"/>
          <w:sz w:val="20"/>
          <w:szCs w:val="20"/>
        </w:rPr>
        <w:t>II.</w:t>
      </w:r>
      <w:r>
        <w:rPr>
          <w:rFonts w:ascii="Roboto" w:eastAsia="Roboto" w:hAnsi="Roboto" w:cs="Roboto"/>
          <w:b/>
          <w:color w:val="000000"/>
          <w:sz w:val="20"/>
          <w:szCs w:val="20"/>
        </w:rPr>
        <w:t xml:space="preserve"> </w:t>
      </w:r>
      <w:r w:rsidRPr="007C3A36">
        <w:rPr>
          <w:rFonts w:ascii="Roboto" w:eastAsia="Roboto" w:hAnsi="Roboto" w:cs="Roboto"/>
          <w:b/>
          <w:color w:val="000000"/>
          <w:sz w:val="20"/>
          <w:szCs w:val="20"/>
        </w:rPr>
        <w:t>Los Jueces Tradicionales Mayas</w:t>
      </w:r>
    </w:p>
    <w:p w14:paraId="2E2E69C9" w14:textId="56C11B7B" w:rsidR="00C87BDD" w:rsidRPr="00C87BDD" w:rsidRDefault="00C87BDD" w:rsidP="00DF118D">
      <w:pPr>
        <w:pBdr>
          <w:top w:val="nil"/>
          <w:left w:val="nil"/>
          <w:bottom w:val="nil"/>
          <w:right w:val="nil"/>
          <w:between w:val="nil"/>
        </w:pBdr>
        <w:jc w:val="both"/>
        <w:rPr>
          <w:rFonts w:ascii="Roboto" w:eastAsia="Roboto" w:hAnsi="Roboto" w:cs="Roboto"/>
          <w:color w:val="000000"/>
          <w:sz w:val="20"/>
          <w:szCs w:val="20"/>
        </w:rPr>
      </w:pPr>
      <w:r w:rsidRPr="00C87BDD">
        <w:rPr>
          <w:rFonts w:ascii="Roboto" w:eastAsia="Roboto" w:hAnsi="Roboto" w:cs="Roboto"/>
          <w:color w:val="000000"/>
          <w:sz w:val="20"/>
          <w:szCs w:val="20"/>
        </w:rPr>
        <w:t xml:space="preserve">En continuidad con lo expuesto, la figura del juez tradicional maya se consolida como un eje estratégico dentro del Sistema de Justicia Indígena de Quintana Roo, al articular legitimidad comunitaria, conocimiento profundo del derecho consuetudinario y alineación con el marco constitucional y de derechos humanos. Su actuación, sustentada en la oralidad, la conciliación y la mediación, permite una resolución ágil, cercana y culturalmente pertinente de los conflictos, fortaleciendo la cohesión social y la gobernanza local. La creación y operación del Consejo de la Judicatura de Justicia Indígena, así como la distribución territorial de los Juzgados Tradicionales en los municipios con mayor presencia maya, reflejan un diseño institucional orientado a garantizar el acceso efectivo a la justicia, respetando la diversidad jurídica y cultural del estado. </w:t>
      </w:r>
    </w:p>
    <w:p w14:paraId="0BC9D2B1" w14:textId="77777777" w:rsidR="00A27911" w:rsidRDefault="00A27911">
      <w:pPr>
        <w:pBdr>
          <w:top w:val="nil"/>
          <w:left w:val="nil"/>
          <w:bottom w:val="nil"/>
          <w:right w:val="nil"/>
          <w:between w:val="nil"/>
        </w:pBdr>
        <w:jc w:val="both"/>
        <w:rPr>
          <w:rFonts w:ascii="Roboto" w:eastAsia="Roboto" w:hAnsi="Roboto" w:cs="Roboto"/>
          <w:b/>
          <w:color w:val="000000"/>
          <w:sz w:val="20"/>
          <w:szCs w:val="20"/>
        </w:rPr>
      </w:pPr>
    </w:p>
    <w:p w14:paraId="0BC9D2B2" w14:textId="33EEF7F3" w:rsidR="00A27911" w:rsidRDefault="00894093">
      <w:pPr>
        <w:pBdr>
          <w:top w:val="nil"/>
          <w:left w:val="nil"/>
          <w:bottom w:val="nil"/>
          <w:right w:val="nil"/>
          <w:between w:val="nil"/>
        </w:pBdr>
        <w:jc w:val="both"/>
        <w:rPr>
          <w:rFonts w:ascii="Roboto" w:eastAsia="Roboto" w:hAnsi="Roboto" w:cs="Roboto"/>
          <w:b/>
          <w:color w:val="000000"/>
          <w:sz w:val="20"/>
          <w:szCs w:val="20"/>
        </w:rPr>
      </w:pPr>
      <w:r w:rsidRPr="00894093">
        <w:rPr>
          <w:rFonts w:ascii="Roboto" w:eastAsia="Roboto" w:hAnsi="Roboto" w:cs="Roboto"/>
          <w:b/>
          <w:color w:val="000000"/>
          <w:sz w:val="20"/>
          <w:szCs w:val="20"/>
        </w:rPr>
        <w:t>III.</w:t>
      </w:r>
      <w:r>
        <w:rPr>
          <w:rFonts w:ascii="Roboto" w:eastAsia="Roboto" w:hAnsi="Roboto" w:cs="Roboto"/>
          <w:b/>
          <w:color w:val="000000"/>
          <w:sz w:val="20"/>
          <w:szCs w:val="20"/>
        </w:rPr>
        <w:t xml:space="preserve"> </w:t>
      </w:r>
      <w:r w:rsidRPr="00894093">
        <w:rPr>
          <w:rFonts w:ascii="Roboto" w:eastAsia="Roboto" w:hAnsi="Roboto" w:cs="Roboto"/>
          <w:b/>
          <w:color w:val="000000"/>
          <w:sz w:val="20"/>
          <w:szCs w:val="20"/>
        </w:rPr>
        <w:t>Análisis de la eficiencia, un enfoque contextual</w:t>
      </w:r>
    </w:p>
    <w:p w14:paraId="658F519F" w14:textId="2A5375FB" w:rsidR="00E804A9" w:rsidRPr="00E804A9" w:rsidRDefault="00DF118D" w:rsidP="00E804A9">
      <w:pPr>
        <w:keepNext/>
        <w:jc w:val="both"/>
        <w:rPr>
          <w:rFonts w:ascii="Roboto" w:eastAsia="Roboto" w:hAnsi="Roboto" w:cs="Roboto"/>
          <w:color w:val="000000"/>
          <w:sz w:val="20"/>
          <w:szCs w:val="20"/>
        </w:rPr>
      </w:pPr>
      <w:r>
        <w:rPr>
          <w:rFonts w:ascii="Roboto" w:eastAsia="Roboto" w:hAnsi="Roboto" w:cs="Roboto"/>
          <w:color w:val="000000"/>
          <w:sz w:val="20"/>
          <w:szCs w:val="20"/>
        </w:rPr>
        <w:t xml:space="preserve">Para </w:t>
      </w:r>
      <w:r w:rsidR="003D52C4" w:rsidRPr="003D52C4">
        <w:rPr>
          <w:rFonts w:ascii="Roboto" w:eastAsia="Roboto" w:hAnsi="Roboto" w:cs="Roboto"/>
          <w:color w:val="000000"/>
          <w:sz w:val="20"/>
          <w:szCs w:val="20"/>
        </w:rPr>
        <w:t>efectos de esta investigación, se analizó el Informe Anual 202</w:t>
      </w:r>
      <w:r>
        <w:rPr>
          <w:rFonts w:ascii="Roboto" w:eastAsia="Roboto" w:hAnsi="Roboto" w:cs="Roboto"/>
          <w:color w:val="000000"/>
          <w:sz w:val="20"/>
          <w:szCs w:val="20"/>
        </w:rPr>
        <w:t>4</w:t>
      </w:r>
      <w:r w:rsidR="003D52C4" w:rsidRPr="003D52C4">
        <w:rPr>
          <w:rFonts w:ascii="Roboto" w:eastAsia="Roboto" w:hAnsi="Roboto" w:cs="Roboto"/>
          <w:color w:val="000000"/>
          <w:sz w:val="20"/>
          <w:szCs w:val="20"/>
        </w:rPr>
        <w:t xml:space="preserve"> del Tribunal Unitario de Asuntos Indígenas del Poder Judicial del Estado de Quintana Roo, empleado como muestra para valorar el desempeño jurisdiccional en distintas localidades mayas. El abordaje incorpora, además, una dimensión cualitativa que dialoga con la voz de los propios </w:t>
      </w:r>
      <w:r w:rsidR="003D52C4" w:rsidRPr="003D52C4">
        <w:rPr>
          <w:rFonts w:ascii="Roboto" w:eastAsia="Roboto" w:hAnsi="Roboto" w:cs="Roboto"/>
          <w:color w:val="000000"/>
          <w:sz w:val="20"/>
          <w:szCs w:val="20"/>
        </w:rPr>
        <w:t>operadores comunitarios, destacando la afirmación del juez tradicional Gonzalo Canul May respecto de la relevancia de conocer al juez tradicional, como alternativa preferente frente a instancias ministeriales, lo que evidencia confianza social, legitimidad comunitaria y eficacia percibida.</w:t>
      </w:r>
      <w:r w:rsidR="00E804A9">
        <w:rPr>
          <w:rFonts w:ascii="Roboto" w:eastAsia="Roboto" w:hAnsi="Roboto" w:cs="Roboto"/>
          <w:color w:val="000000"/>
          <w:sz w:val="20"/>
          <w:szCs w:val="20"/>
        </w:rPr>
        <w:t xml:space="preserve"> </w:t>
      </w:r>
      <w:r w:rsidR="00E804A9" w:rsidRPr="00E804A9">
        <w:rPr>
          <w:rFonts w:ascii="Roboto" w:eastAsia="Roboto" w:hAnsi="Roboto" w:cs="Roboto"/>
          <w:color w:val="000000"/>
          <w:sz w:val="20"/>
          <w:szCs w:val="20"/>
        </w:rPr>
        <w:t>Con base en lo anterior, el análisis de la muestra revela que la tipología de casos mayoritaria es la de Administrativo/Civil, representando el 29.2% del total de los casos registrados. Esta categoría, que combina aspectos administrativos y civiles, sugiere una prevalencia de conflictos que requieren una resolución mixta, presentando en ocasiones conciliación o mediación como método de resolución.</w:t>
      </w:r>
    </w:p>
    <w:p w14:paraId="463B1F8C" w14:textId="77777777" w:rsidR="00E804A9" w:rsidRPr="00E804A9" w:rsidRDefault="00E804A9" w:rsidP="00E804A9">
      <w:pPr>
        <w:keepNext/>
        <w:jc w:val="both"/>
        <w:rPr>
          <w:rFonts w:ascii="Roboto" w:eastAsia="Roboto" w:hAnsi="Roboto" w:cs="Roboto"/>
          <w:color w:val="000000"/>
          <w:sz w:val="20"/>
          <w:szCs w:val="20"/>
        </w:rPr>
      </w:pPr>
      <w:r w:rsidRPr="00E804A9">
        <w:rPr>
          <w:rFonts w:ascii="Roboto" w:eastAsia="Roboto" w:hAnsi="Roboto" w:cs="Roboto"/>
          <w:color w:val="000000"/>
          <w:sz w:val="20"/>
          <w:szCs w:val="20"/>
        </w:rPr>
        <w:t>La tipología Penal sigue con un 20.8% de los casos, lo que indica una cantidad significativa de conflictos de naturaleza penal. Aunque estos conflictos se resuelven inicialmente por conciliación, las actas advierten que, en caso de reincidencia, se procederá y canalizará a las autoridades competentes del ministerio público, es decir, no se canaliza en la primera instancia.</w:t>
      </w:r>
    </w:p>
    <w:p w14:paraId="34900023" w14:textId="32CC2F43" w:rsidR="00006F12" w:rsidRPr="00E614E1" w:rsidRDefault="00E804A9" w:rsidP="00DF118D">
      <w:pPr>
        <w:keepNext/>
        <w:jc w:val="both"/>
        <w:rPr>
          <w:rFonts w:ascii="Roboto" w:eastAsia="Roboto" w:hAnsi="Roboto" w:cs="Roboto"/>
          <w:color w:val="000000"/>
          <w:sz w:val="14"/>
          <w:szCs w:val="14"/>
        </w:rPr>
      </w:pPr>
      <w:r w:rsidRPr="00E804A9">
        <w:rPr>
          <w:rFonts w:ascii="Roboto" w:eastAsia="Roboto" w:hAnsi="Roboto" w:cs="Roboto"/>
          <w:color w:val="000000"/>
          <w:sz w:val="20"/>
          <w:szCs w:val="20"/>
        </w:rPr>
        <w:t>Los conflictos familiares representan el 12.5% de los casos, lo que destaca la importancia de resolver disputas dentro del ámbito familiar. Las categorías Civil, Mercantil, Administrativo y Civil/Familiar, cada una, constituyen el 8.3% del total de los casos, subrayando su relevancia en la resolución de conflictos específicos.</w:t>
      </w:r>
      <w:r w:rsidR="00DF118D">
        <w:rPr>
          <w:rFonts w:ascii="Roboto" w:eastAsia="Roboto" w:hAnsi="Roboto" w:cs="Roboto"/>
          <w:color w:val="000000"/>
          <w:sz w:val="20"/>
          <w:szCs w:val="20"/>
        </w:rPr>
        <w:t xml:space="preserve"> </w:t>
      </w:r>
      <w:r w:rsidR="00DF118D" w:rsidRPr="00E804A9">
        <w:rPr>
          <w:rFonts w:ascii="Roboto" w:eastAsia="Roboto" w:hAnsi="Roboto" w:cs="Roboto"/>
          <w:color w:val="000000"/>
          <w:sz w:val="20"/>
          <w:szCs w:val="20"/>
        </w:rPr>
        <w:t>Definitivamente</w:t>
      </w:r>
      <w:r w:rsidRPr="00E804A9">
        <w:rPr>
          <w:rFonts w:ascii="Roboto" w:eastAsia="Roboto" w:hAnsi="Roboto" w:cs="Roboto"/>
          <w:color w:val="000000"/>
          <w:sz w:val="20"/>
          <w:szCs w:val="20"/>
        </w:rPr>
        <w:t>, las categorías Administrativo y Penal/Civil representan el 4.2% y 2.1% de los casos,</w:t>
      </w:r>
      <w:r w:rsidR="00DF118D">
        <w:rPr>
          <w:rFonts w:ascii="Roboto" w:eastAsia="Roboto" w:hAnsi="Roboto" w:cs="Roboto"/>
          <w:color w:val="000000"/>
          <w:sz w:val="20"/>
          <w:szCs w:val="20"/>
        </w:rPr>
        <w:t xml:space="preserve"> </w:t>
      </w:r>
      <w:r w:rsidRPr="00E804A9">
        <w:rPr>
          <w:rFonts w:ascii="Roboto" w:eastAsia="Roboto" w:hAnsi="Roboto" w:cs="Roboto"/>
          <w:color w:val="000000"/>
          <w:sz w:val="20"/>
          <w:szCs w:val="20"/>
        </w:rPr>
        <w:t xml:space="preserve">respectivamente, mostrando una combinación rara pero existente de aspectos penales y civiles. </w:t>
      </w:r>
    </w:p>
    <w:p w14:paraId="55532CDE" w14:textId="77777777" w:rsidR="00941CF0" w:rsidRPr="003D52C4" w:rsidRDefault="00941CF0" w:rsidP="003D52C4">
      <w:pPr>
        <w:keepNext/>
        <w:jc w:val="both"/>
        <w:rPr>
          <w:rFonts w:ascii="Roboto" w:eastAsia="Roboto" w:hAnsi="Roboto" w:cs="Roboto"/>
          <w:color w:val="000000"/>
          <w:sz w:val="20"/>
          <w:szCs w:val="20"/>
        </w:rPr>
      </w:pPr>
    </w:p>
    <w:p w14:paraId="56E8094B" w14:textId="3F341506" w:rsidR="003D52C4" w:rsidRPr="003D52C4" w:rsidRDefault="003D52C4" w:rsidP="00DF118D">
      <w:pPr>
        <w:keepNext/>
        <w:jc w:val="both"/>
        <w:rPr>
          <w:rFonts w:ascii="Roboto" w:eastAsia="Roboto" w:hAnsi="Roboto" w:cs="Roboto"/>
          <w:color w:val="000000"/>
          <w:sz w:val="20"/>
          <w:szCs w:val="20"/>
        </w:rPr>
      </w:pPr>
      <w:r w:rsidRPr="003D52C4">
        <w:rPr>
          <w:rFonts w:ascii="Roboto" w:eastAsia="Roboto" w:hAnsi="Roboto" w:cs="Roboto"/>
          <w:color w:val="000000"/>
          <w:sz w:val="20"/>
          <w:szCs w:val="20"/>
        </w:rPr>
        <w:t>En consonancia</w:t>
      </w:r>
      <w:r w:rsidR="00DF118D">
        <w:rPr>
          <w:rFonts w:ascii="Roboto" w:eastAsia="Roboto" w:hAnsi="Roboto" w:cs="Roboto"/>
          <w:color w:val="000000"/>
          <w:sz w:val="20"/>
          <w:szCs w:val="20"/>
        </w:rPr>
        <w:t xml:space="preserve">, </w:t>
      </w:r>
      <w:r w:rsidRPr="003D52C4">
        <w:rPr>
          <w:rFonts w:ascii="Roboto" w:eastAsia="Roboto" w:hAnsi="Roboto" w:cs="Roboto"/>
          <w:color w:val="000000"/>
          <w:sz w:val="20"/>
          <w:szCs w:val="20"/>
        </w:rPr>
        <w:t>los jueces tradicionales, al ser integrantes de la comunidad, mantienen una disposición permanente para mediar, conciliar y orientar la resolución de controversias cotidianas. Esta disponibilidad opera como un mecanismo de contención temprana del conflicto y, al mismo tiempo, como una práctica de liderazgo comunitario que facilita acuerdos sostenibles, reduce escaladas y refuerza la convivencia. En términos institucionales, ello se traduce en una justicia que no solo resuelve, sino que repara vínculos, restituye diálogo y potencia escenarios de paz social.</w:t>
      </w:r>
    </w:p>
    <w:p w14:paraId="4A618EE5" w14:textId="721996D1" w:rsidR="003D52C4" w:rsidRPr="003D52C4" w:rsidRDefault="003D52C4" w:rsidP="003D52C4">
      <w:pPr>
        <w:keepNext/>
        <w:jc w:val="both"/>
        <w:rPr>
          <w:rFonts w:ascii="Roboto" w:eastAsia="Roboto" w:hAnsi="Roboto" w:cs="Roboto"/>
          <w:color w:val="000000"/>
          <w:sz w:val="20"/>
          <w:szCs w:val="20"/>
        </w:rPr>
      </w:pPr>
      <w:r w:rsidRPr="003D52C4">
        <w:rPr>
          <w:rFonts w:ascii="Roboto" w:eastAsia="Roboto" w:hAnsi="Roboto" w:cs="Roboto"/>
          <w:color w:val="000000"/>
          <w:sz w:val="20"/>
          <w:szCs w:val="20"/>
        </w:rPr>
        <w:t xml:space="preserve">Como parte del diseño metodológico, se seleccionó aleatoriamente una muestra de 50 casos en los Tribunales Tradicionales de Felipe Carrillo Puerto, Tulum y Lázaro Cárdenas. Los hallazgos indican una mayor concentración de casos en Felipe Carrillo Puerto, seguida por Tulum y, en menor medida, Lázaro </w:t>
      </w:r>
      <w:r w:rsidRPr="003D52C4">
        <w:rPr>
          <w:rFonts w:ascii="Roboto" w:eastAsia="Roboto" w:hAnsi="Roboto" w:cs="Roboto"/>
          <w:color w:val="000000"/>
          <w:sz w:val="20"/>
          <w:szCs w:val="20"/>
        </w:rPr>
        <w:lastRenderedPageBreak/>
        <w:t>Cárdenas, lo que perfila un mapa de demanda jurisdiccional asociado a densidad poblacional, arraigo institucional y patrones locales de conflictividad, con implicaciones directas para la asignación de recursos y estrategias de capacitación.</w:t>
      </w:r>
      <w:r w:rsidR="00F13CF8">
        <w:rPr>
          <w:rFonts w:ascii="Roboto" w:eastAsia="Roboto" w:hAnsi="Roboto" w:cs="Roboto"/>
          <w:color w:val="000000"/>
          <w:sz w:val="20"/>
          <w:szCs w:val="20"/>
        </w:rPr>
        <w:t xml:space="preserve"> (Tabla 1.)</w:t>
      </w:r>
    </w:p>
    <w:p w14:paraId="58941200" w14:textId="5372E947" w:rsidR="003D52C4" w:rsidRPr="003D52C4" w:rsidRDefault="00976C2C" w:rsidP="003D52C4">
      <w:pPr>
        <w:keepNext/>
        <w:jc w:val="both"/>
        <w:rPr>
          <w:rFonts w:ascii="Roboto" w:eastAsia="Roboto" w:hAnsi="Roboto" w:cs="Roboto"/>
          <w:color w:val="000000"/>
          <w:sz w:val="20"/>
          <w:szCs w:val="20"/>
        </w:rPr>
      </w:pPr>
      <w:r>
        <w:rPr>
          <w:rFonts w:ascii="Roboto" w:eastAsia="Roboto" w:hAnsi="Roboto" w:cs="Roboto"/>
          <w:color w:val="000000"/>
          <w:sz w:val="20"/>
          <w:szCs w:val="20"/>
        </w:rPr>
        <w:t>Sin duda</w:t>
      </w:r>
      <w:r w:rsidR="003D52C4" w:rsidRPr="003D52C4">
        <w:rPr>
          <w:rFonts w:ascii="Roboto" w:eastAsia="Roboto" w:hAnsi="Roboto" w:cs="Roboto"/>
          <w:color w:val="000000"/>
          <w:sz w:val="20"/>
          <w:szCs w:val="20"/>
        </w:rPr>
        <w:t>, la evidencia empírica confirma que la tipología predominante de casos se ubica en el ámbito administrativo, civil y penal en distintas combinaciones, con resultados centrados en la resolución del conflicto y el reconocimiento, además de uniones, cumplimiento de acuerdos y reparación del daño. Este repertorio confirma que, más que sancionar, el sistema privilegia restaurar la armonía, mediante obligaciones de dar y de hacer, trabajo comunitario y medidas proporcionales basadas en la participación y reincidencia, reservando la canalización al ministerio público para supuestos posteriores. En conjunto, el modelo reafirma el valor probatorio y vinculante de la palabra, la autoridad ética del juez tradicional y la capacidad del derecho consuetudinario para producir soluciones inclusivas que fortalecen el tejido comunitario y consolidan una cultura de paz.</w:t>
      </w:r>
    </w:p>
    <w:p w14:paraId="0BC9D2B9" w14:textId="77777777" w:rsidR="00A27911" w:rsidRDefault="00A27911">
      <w:pPr>
        <w:keepNext/>
        <w:jc w:val="both"/>
        <w:rPr>
          <w:rFonts w:ascii="Roboto" w:eastAsia="Roboto" w:hAnsi="Roboto" w:cs="Roboto"/>
          <w:b/>
          <w:sz w:val="20"/>
          <w:szCs w:val="20"/>
        </w:rPr>
      </w:pPr>
    </w:p>
    <w:p w14:paraId="0BC9D2BA" w14:textId="70F7FEB1" w:rsidR="00A27911" w:rsidRDefault="00DB7BFF">
      <w:pPr>
        <w:keepNext/>
        <w:jc w:val="both"/>
        <w:rPr>
          <w:rFonts w:ascii="Roboto" w:eastAsia="Roboto" w:hAnsi="Roboto" w:cs="Roboto"/>
          <w:sz w:val="20"/>
          <w:szCs w:val="20"/>
        </w:rPr>
      </w:pPr>
      <w:r>
        <w:rPr>
          <w:rFonts w:ascii="Roboto" w:eastAsia="Roboto" w:hAnsi="Roboto" w:cs="Roboto"/>
          <w:b/>
          <w:sz w:val="20"/>
          <w:szCs w:val="20"/>
        </w:rPr>
        <w:t>Tabla 1.</w:t>
      </w:r>
      <w:r>
        <w:rPr>
          <w:rFonts w:ascii="Roboto" w:eastAsia="Roboto" w:hAnsi="Roboto" w:cs="Roboto"/>
          <w:sz w:val="20"/>
          <w:szCs w:val="20"/>
        </w:rPr>
        <w:t xml:space="preserve"> T</w:t>
      </w:r>
      <w:r w:rsidR="002A06E2">
        <w:rPr>
          <w:rFonts w:ascii="Roboto" w:eastAsia="Roboto" w:hAnsi="Roboto" w:cs="Roboto"/>
          <w:sz w:val="20"/>
          <w:szCs w:val="20"/>
        </w:rPr>
        <w:t>ipología por materia.</w:t>
      </w:r>
    </w:p>
    <w:tbl>
      <w:tblPr>
        <w:tblStyle w:val="Tablaconcuadrcula"/>
        <w:tblW w:w="4924" w:type="dxa"/>
        <w:jc w:val="center"/>
        <w:tblLook w:val="04A0" w:firstRow="1" w:lastRow="0" w:firstColumn="1" w:lastColumn="0" w:noHBand="0" w:noVBand="1"/>
      </w:tblPr>
      <w:tblGrid>
        <w:gridCol w:w="2988"/>
        <w:gridCol w:w="901"/>
        <w:gridCol w:w="1035"/>
      </w:tblGrid>
      <w:tr w:rsidR="002A06E2" w:rsidRPr="00DF118D" w14:paraId="4D345006" w14:textId="77777777" w:rsidTr="0067252F">
        <w:trPr>
          <w:jc w:val="center"/>
        </w:trPr>
        <w:tc>
          <w:tcPr>
            <w:tcW w:w="0" w:type="auto"/>
            <w:hideMark/>
          </w:tcPr>
          <w:p w14:paraId="2F8756A7" w14:textId="77777777" w:rsidR="002A06E2" w:rsidRPr="00DF118D" w:rsidRDefault="002A06E2" w:rsidP="00FA4B82">
            <w:pPr>
              <w:jc w:val="center"/>
              <w:rPr>
                <w:rFonts w:ascii="Arial" w:eastAsia="Times New Roman" w:hAnsi="Arial" w:cs="Arial"/>
                <w:b/>
                <w:bCs/>
                <w:kern w:val="0"/>
                <w:sz w:val="16"/>
                <w:szCs w:val="16"/>
                <w:lang w:eastAsia="es-MX"/>
                <w14:ligatures w14:val="none"/>
              </w:rPr>
            </w:pPr>
            <w:r w:rsidRPr="00DF118D">
              <w:rPr>
                <w:rFonts w:ascii="Arial" w:eastAsia="Times New Roman" w:hAnsi="Arial" w:cs="Arial"/>
                <w:b/>
                <w:bCs/>
                <w:kern w:val="0"/>
                <w:sz w:val="16"/>
                <w:szCs w:val="16"/>
                <w:lang w:eastAsia="es-MX"/>
                <w14:ligatures w14:val="none"/>
              </w:rPr>
              <w:t>Resultado</w:t>
            </w:r>
          </w:p>
        </w:tc>
        <w:tc>
          <w:tcPr>
            <w:tcW w:w="0" w:type="auto"/>
            <w:hideMark/>
          </w:tcPr>
          <w:p w14:paraId="76140BFF" w14:textId="77777777" w:rsidR="002A06E2" w:rsidRPr="00DF118D" w:rsidRDefault="002A06E2" w:rsidP="00FA4B82">
            <w:pPr>
              <w:jc w:val="center"/>
              <w:rPr>
                <w:rFonts w:ascii="Arial" w:eastAsia="Times New Roman" w:hAnsi="Arial" w:cs="Arial"/>
                <w:b/>
                <w:bCs/>
                <w:kern w:val="0"/>
                <w:sz w:val="16"/>
                <w:szCs w:val="16"/>
                <w:lang w:eastAsia="es-MX"/>
                <w14:ligatures w14:val="none"/>
              </w:rPr>
            </w:pPr>
            <w:r w:rsidRPr="00DF118D">
              <w:rPr>
                <w:rFonts w:ascii="Arial" w:eastAsia="Times New Roman" w:hAnsi="Arial" w:cs="Arial"/>
                <w:b/>
                <w:bCs/>
                <w:kern w:val="0"/>
                <w:sz w:val="16"/>
                <w:szCs w:val="16"/>
                <w:lang w:eastAsia="es-MX"/>
                <w14:ligatures w14:val="none"/>
              </w:rPr>
              <w:t>Cantidad</w:t>
            </w:r>
          </w:p>
        </w:tc>
        <w:tc>
          <w:tcPr>
            <w:tcW w:w="0" w:type="auto"/>
            <w:hideMark/>
          </w:tcPr>
          <w:p w14:paraId="7A1D32D7" w14:textId="77777777" w:rsidR="002A06E2" w:rsidRPr="00DF118D" w:rsidRDefault="002A06E2" w:rsidP="00FA4B82">
            <w:pPr>
              <w:jc w:val="center"/>
              <w:rPr>
                <w:rFonts w:ascii="Arial" w:eastAsia="Times New Roman" w:hAnsi="Arial" w:cs="Arial"/>
                <w:b/>
                <w:bCs/>
                <w:kern w:val="0"/>
                <w:sz w:val="16"/>
                <w:szCs w:val="16"/>
                <w:lang w:eastAsia="es-MX"/>
                <w14:ligatures w14:val="none"/>
              </w:rPr>
            </w:pPr>
            <w:r w:rsidRPr="00DF118D">
              <w:rPr>
                <w:rFonts w:ascii="Arial" w:eastAsia="Times New Roman" w:hAnsi="Arial" w:cs="Arial"/>
                <w:b/>
                <w:bCs/>
                <w:kern w:val="0"/>
                <w:sz w:val="16"/>
                <w:szCs w:val="16"/>
                <w:lang w:eastAsia="es-MX"/>
                <w14:ligatures w14:val="none"/>
              </w:rPr>
              <w:t>Porcentaje</w:t>
            </w:r>
          </w:p>
        </w:tc>
      </w:tr>
      <w:tr w:rsidR="002A06E2" w:rsidRPr="00DF118D" w14:paraId="470B241A" w14:textId="77777777" w:rsidTr="0067252F">
        <w:trPr>
          <w:jc w:val="center"/>
        </w:trPr>
        <w:tc>
          <w:tcPr>
            <w:tcW w:w="0" w:type="auto"/>
            <w:hideMark/>
          </w:tcPr>
          <w:p w14:paraId="6AEEE200"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Resolución de Conflicto</w:t>
            </w:r>
          </w:p>
        </w:tc>
        <w:tc>
          <w:tcPr>
            <w:tcW w:w="0" w:type="auto"/>
            <w:hideMark/>
          </w:tcPr>
          <w:p w14:paraId="69610273"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20</w:t>
            </w:r>
          </w:p>
        </w:tc>
        <w:tc>
          <w:tcPr>
            <w:tcW w:w="0" w:type="auto"/>
            <w:hideMark/>
          </w:tcPr>
          <w:p w14:paraId="49A7D7B5"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40%</w:t>
            </w:r>
          </w:p>
        </w:tc>
      </w:tr>
      <w:tr w:rsidR="002A06E2" w:rsidRPr="00DF118D" w14:paraId="10B76C2D" w14:textId="77777777" w:rsidTr="0067252F">
        <w:trPr>
          <w:jc w:val="center"/>
        </w:trPr>
        <w:tc>
          <w:tcPr>
            <w:tcW w:w="0" w:type="auto"/>
            <w:hideMark/>
          </w:tcPr>
          <w:p w14:paraId="1174E220"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Reconocimiento</w:t>
            </w:r>
          </w:p>
        </w:tc>
        <w:tc>
          <w:tcPr>
            <w:tcW w:w="0" w:type="auto"/>
            <w:hideMark/>
          </w:tcPr>
          <w:p w14:paraId="4C138F96"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9</w:t>
            </w:r>
          </w:p>
        </w:tc>
        <w:tc>
          <w:tcPr>
            <w:tcW w:w="0" w:type="auto"/>
            <w:hideMark/>
          </w:tcPr>
          <w:p w14:paraId="25783C8B"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18%</w:t>
            </w:r>
          </w:p>
        </w:tc>
      </w:tr>
      <w:tr w:rsidR="002A06E2" w:rsidRPr="00DF118D" w14:paraId="3958C83F" w14:textId="77777777" w:rsidTr="0067252F">
        <w:trPr>
          <w:jc w:val="center"/>
        </w:trPr>
        <w:tc>
          <w:tcPr>
            <w:tcW w:w="0" w:type="auto"/>
            <w:hideMark/>
          </w:tcPr>
          <w:p w14:paraId="67BDBF5B"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Unión</w:t>
            </w:r>
          </w:p>
        </w:tc>
        <w:tc>
          <w:tcPr>
            <w:tcW w:w="0" w:type="auto"/>
            <w:hideMark/>
          </w:tcPr>
          <w:p w14:paraId="7562EB0F"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6</w:t>
            </w:r>
          </w:p>
        </w:tc>
        <w:tc>
          <w:tcPr>
            <w:tcW w:w="0" w:type="auto"/>
            <w:hideMark/>
          </w:tcPr>
          <w:p w14:paraId="6EE098F4"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12%</w:t>
            </w:r>
          </w:p>
        </w:tc>
      </w:tr>
      <w:tr w:rsidR="002A06E2" w:rsidRPr="00DF118D" w14:paraId="3FE4C44B" w14:textId="77777777" w:rsidTr="0067252F">
        <w:trPr>
          <w:jc w:val="center"/>
        </w:trPr>
        <w:tc>
          <w:tcPr>
            <w:tcW w:w="0" w:type="auto"/>
            <w:hideMark/>
          </w:tcPr>
          <w:p w14:paraId="1E06D941"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Cumplimiento de Acuerdo</w:t>
            </w:r>
          </w:p>
        </w:tc>
        <w:tc>
          <w:tcPr>
            <w:tcW w:w="0" w:type="auto"/>
            <w:hideMark/>
          </w:tcPr>
          <w:p w14:paraId="07C94737"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c>
          <w:tcPr>
            <w:tcW w:w="0" w:type="auto"/>
            <w:hideMark/>
          </w:tcPr>
          <w:p w14:paraId="4FBDD016"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4%</w:t>
            </w:r>
          </w:p>
        </w:tc>
      </w:tr>
      <w:tr w:rsidR="002A06E2" w:rsidRPr="00DF118D" w14:paraId="6B97D2CE" w14:textId="77777777" w:rsidTr="0067252F">
        <w:trPr>
          <w:jc w:val="center"/>
        </w:trPr>
        <w:tc>
          <w:tcPr>
            <w:tcW w:w="0" w:type="auto"/>
            <w:hideMark/>
          </w:tcPr>
          <w:p w14:paraId="464B4517"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Reparación del Daño</w:t>
            </w:r>
          </w:p>
        </w:tc>
        <w:tc>
          <w:tcPr>
            <w:tcW w:w="0" w:type="auto"/>
            <w:hideMark/>
          </w:tcPr>
          <w:p w14:paraId="50A66702"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c>
          <w:tcPr>
            <w:tcW w:w="0" w:type="auto"/>
            <w:hideMark/>
          </w:tcPr>
          <w:p w14:paraId="1ACAA7E6"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4%</w:t>
            </w:r>
          </w:p>
        </w:tc>
      </w:tr>
      <w:tr w:rsidR="002A06E2" w:rsidRPr="00DF118D" w14:paraId="64A98040" w14:textId="77777777" w:rsidTr="0067252F">
        <w:trPr>
          <w:jc w:val="center"/>
        </w:trPr>
        <w:tc>
          <w:tcPr>
            <w:tcW w:w="0" w:type="auto"/>
            <w:hideMark/>
          </w:tcPr>
          <w:p w14:paraId="3A7F2824"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Denuncia</w:t>
            </w:r>
          </w:p>
        </w:tc>
        <w:tc>
          <w:tcPr>
            <w:tcW w:w="0" w:type="auto"/>
            <w:hideMark/>
          </w:tcPr>
          <w:p w14:paraId="3B33B7EF"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c>
          <w:tcPr>
            <w:tcW w:w="0" w:type="auto"/>
            <w:hideMark/>
          </w:tcPr>
          <w:p w14:paraId="4A2410E8"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4%</w:t>
            </w:r>
          </w:p>
        </w:tc>
      </w:tr>
      <w:tr w:rsidR="002A06E2" w:rsidRPr="00DF118D" w14:paraId="79614673" w14:textId="77777777" w:rsidTr="0067252F">
        <w:trPr>
          <w:jc w:val="center"/>
        </w:trPr>
        <w:tc>
          <w:tcPr>
            <w:tcW w:w="0" w:type="auto"/>
            <w:hideMark/>
          </w:tcPr>
          <w:p w14:paraId="55AA0DA3"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Acatamiento de la Restricción</w:t>
            </w:r>
          </w:p>
        </w:tc>
        <w:tc>
          <w:tcPr>
            <w:tcW w:w="0" w:type="auto"/>
            <w:hideMark/>
          </w:tcPr>
          <w:p w14:paraId="77D9FFC0"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w:t>
            </w:r>
          </w:p>
        </w:tc>
        <w:tc>
          <w:tcPr>
            <w:tcW w:w="0" w:type="auto"/>
            <w:hideMark/>
          </w:tcPr>
          <w:p w14:paraId="01356B47"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r>
      <w:tr w:rsidR="002A06E2" w:rsidRPr="00DF118D" w14:paraId="26B8CAE6" w14:textId="77777777" w:rsidTr="0067252F">
        <w:trPr>
          <w:jc w:val="center"/>
        </w:trPr>
        <w:tc>
          <w:tcPr>
            <w:tcW w:w="0" w:type="auto"/>
            <w:hideMark/>
          </w:tcPr>
          <w:p w14:paraId="23D8AACF"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Reconocimiento de Deuda</w:t>
            </w:r>
          </w:p>
        </w:tc>
        <w:tc>
          <w:tcPr>
            <w:tcW w:w="0" w:type="auto"/>
            <w:hideMark/>
          </w:tcPr>
          <w:p w14:paraId="4A1D7DF9"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w:t>
            </w:r>
          </w:p>
        </w:tc>
        <w:tc>
          <w:tcPr>
            <w:tcW w:w="0" w:type="auto"/>
            <w:hideMark/>
          </w:tcPr>
          <w:p w14:paraId="68768AD4"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r>
      <w:tr w:rsidR="002A06E2" w:rsidRPr="00DF118D" w14:paraId="1BD299F0" w14:textId="77777777" w:rsidTr="0067252F">
        <w:trPr>
          <w:jc w:val="center"/>
        </w:trPr>
        <w:tc>
          <w:tcPr>
            <w:tcW w:w="0" w:type="auto"/>
            <w:hideMark/>
          </w:tcPr>
          <w:p w14:paraId="1A4C91E7"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Reconocimiento de Fraude</w:t>
            </w:r>
          </w:p>
        </w:tc>
        <w:tc>
          <w:tcPr>
            <w:tcW w:w="0" w:type="auto"/>
            <w:hideMark/>
          </w:tcPr>
          <w:p w14:paraId="0686152D"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w:t>
            </w:r>
          </w:p>
        </w:tc>
        <w:tc>
          <w:tcPr>
            <w:tcW w:w="0" w:type="auto"/>
            <w:hideMark/>
          </w:tcPr>
          <w:p w14:paraId="60E7130C"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r>
      <w:tr w:rsidR="002A06E2" w:rsidRPr="00DF118D" w14:paraId="7CBAFEEE" w14:textId="77777777" w:rsidTr="0067252F">
        <w:trPr>
          <w:jc w:val="center"/>
        </w:trPr>
        <w:tc>
          <w:tcPr>
            <w:tcW w:w="0" w:type="auto"/>
            <w:hideMark/>
          </w:tcPr>
          <w:p w14:paraId="79685936"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Reconocimiento de Lesiones</w:t>
            </w:r>
          </w:p>
        </w:tc>
        <w:tc>
          <w:tcPr>
            <w:tcW w:w="0" w:type="auto"/>
            <w:hideMark/>
          </w:tcPr>
          <w:p w14:paraId="33336255"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w:t>
            </w:r>
          </w:p>
        </w:tc>
        <w:tc>
          <w:tcPr>
            <w:tcW w:w="0" w:type="auto"/>
            <w:hideMark/>
          </w:tcPr>
          <w:p w14:paraId="55501824"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r>
      <w:tr w:rsidR="002A06E2" w:rsidRPr="00DF118D" w14:paraId="3CB0DFED" w14:textId="77777777" w:rsidTr="0067252F">
        <w:trPr>
          <w:jc w:val="center"/>
        </w:trPr>
        <w:tc>
          <w:tcPr>
            <w:tcW w:w="0" w:type="auto"/>
            <w:hideMark/>
          </w:tcPr>
          <w:p w14:paraId="2CD2F935"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Cambio de servidumbre de paso</w:t>
            </w:r>
          </w:p>
        </w:tc>
        <w:tc>
          <w:tcPr>
            <w:tcW w:w="0" w:type="auto"/>
            <w:hideMark/>
          </w:tcPr>
          <w:p w14:paraId="34AF2CC3"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w:t>
            </w:r>
          </w:p>
        </w:tc>
        <w:tc>
          <w:tcPr>
            <w:tcW w:w="0" w:type="auto"/>
            <w:hideMark/>
          </w:tcPr>
          <w:p w14:paraId="3F550BC2"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r>
      <w:tr w:rsidR="002A06E2" w:rsidRPr="00DF118D" w14:paraId="169222BE" w14:textId="77777777" w:rsidTr="0067252F">
        <w:trPr>
          <w:jc w:val="center"/>
        </w:trPr>
        <w:tc>
          <w:tcPr>
            <w:tcW w:w="0" w:type="auto"/>
            <w:hideMark/>
          </w:tcPr>
          <w:p w14:paraId="688B67C1"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Evitar el Acoso Sexual</w:t>
            </w:r>
          </w:p>
        </w:tc>
        <w:tc>
          <w:tcPr>
            <w:tcW w:w="0" w:type="auto"/>
            <w:hideMark/>
          </w:tcPr>
          <w:p w14:paraId="47183D17"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w:t>
            </w:r>
          </w:p>
        </w:tc>
        <w:tc>
          <w:tcPr>
            <w:tcW w:w="0" w:type="auto"/>
            <w:hideMark/>
          </w:tcPr>
          <w:p w14:paraId="07EC7D5E"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r>
      <w:tr w:rsidR="002A06E2" w:rsidRPr="00DF118D" w14:paraId="06DE88F8" w14:textId="77777777" w:rsidTr="0067252F">
        <w:trPr>
          <w:jc w:val="center"/>
        </w:trPr>
        <w:tc>
          <w:tcPr>
            <w:tcW w:w="0" w:type="auto"/>
            <w:hideMark/>
          </w:tcPr>
          <w:p w14:paraId="7F4B9136"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Manutención y eliminación de violencia intrafamiliar</w:t>
            </w:r>
          </w:p>
        </w:tc>
        <w:tc>
          <w:tcPr>
            <w:tcW w:w="0" w:type="auto"/>
            <w:hideMark/>
          </w:tcPr>
          <w:p w14:paraId="110EBBAE"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w:t>
            </w:r>
          </w:p>
        </w:tc>
        <w:tc>
          <w:tcPr>
            <w:tcW w:w="0" w:type="auto"/>
            <w:hideMark/>
          </w:tcPr>
          <w:p w14:paraId="7D42CDCF"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r>
      <w:tr w:rsidR="002A06E2" w:rsidRPr="00DF118D" w14:paraId="0FCB90D2" w14:textId="77777777" w:rsidTr="0067252F">
        <w:trPr>
          <w:jc w:val="center"/>
        </w:trPr>
        <w:tc>
          <w:tcPr>
            <w:tcW w:w="0" w:type="auto"/>
            <w:hideMark/>
          </w:tcPr>
          <w:p w14:paraId="223954DB"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Eliminación de Violencia Intrafamiliar</w:t>
            </w:r>
          </w:p>
        </w:tc>
        <w:tc>
          <w:tcPr>
            <w:tcW w:w="0" w:type="auto"/>
            <w:hideMark/>
          </w:tcPr>
          <w:p w14:paraId="0C792955"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w:t>
            </w:r>
          </w:p>
        </w:tc>
        <w:tc>
          <w:tcPr>
            <w:tcW w:w="0" w:type="auto"/>
            <w:hideMark/>
          </w:tcPr>
          <w:p w14:paraId="1F335834"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r>
      <w:tr w:rsidR="002A06E2" w:rsidRPr="00DF118D" w14:paraId="5098BCB2" w14:textId="77777777" w:rsidTr="0067252F">
        <w:trPr>
          <w:jc w:val="center"/>
        </w:trPr>
        <w:tc>
          <w:tcPr>
            <w:tcW w:w="0" w:type="auto"/>
            <w:hideMark/>
          </w:tcPr>
          <w:p w14:paraId="0F7F782C" w14:textId="77777777" w:rsidR="002A06E2" w:rsidRPr="00DF118D" w:rsidRDefault="002A06E2" w:rsidP="00FA4B82">
            <w:pP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Robo</w:t>
            </w:r>
          </w:p>
        </w:tc>
        <w:tc>
          <w:tcPr>
            <w:tcW w:w="0" w:type="auto"/>
            <w:hideMark/>
          </w:tcPr>
          <w:p w14:paraId="2831E616"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1</w:t>
            </w:r>
          </w:p>
        </w:tc>
        <w:tc>
          <w:tcPr>
            <w:tcW w:w="0" w:type="auto"/>
            <w:hideMark/>
          </w:tcPr>
          <w:p w14:paraId="1D549304" w14:textId="77777777" w:rsidR="002A06E2" w:rsidRPr="00DF118D" w:rsidRDefault="002A06E2" w:rsidP="00FA4B82">
            <w:pPr>
              <w:jc w:val="center"/>
              <w:rPr>
                <w:rFonts w:ascii="Arial" w:eastAsia="Times New Roman" w:hAnsi="Arial" w:cs="Arial"/>
                <w:kern w:val="0"/>
                <w:sz w:val="16"/>
                <w:szCs w:val="16"/>
                <w:lang w:eastAsia="es-MX"/>
                <w14:ligatures w14:val="none"/>
              </w:rPr>
            </w:pPr>
            <w:r w:rsidRPr="00DF118D">
              <w:rPr>
                <w:rFonts w:ascii="Arial" w:eastAsia="Times New Roman" w:hAnsi="Arial" w:cs="Arial"/>
                <w:kern w:val="0"/>
                <w:sz w:val="16"/>
                <w:szCs w:val="16"/>
                <w:lang w:eastAsia="es-MX"/>
                <w14:ligatures w14:val="none"/>
              </w:rPr>
              <w:t>2%</w:t>
            </w:r>
          </w:p>
        </w:tc>
      </w:tr>
    </w:tbl>
    <w:p w14:paraId="048D565F" w14:textId="77777777" w:rsidR="0067252F" w:rsidRPr="00E614E1" w:rsidRDefault="0067252F" w:rsidP="0067252F">
      <w:pPr>
        <w:keepNext/>
        <w:jc w:val="both"/>
        <w:rPr>
          <w:rFonts w:ascii="Roboto" w:eastAsia="Roboto" w:hAnsi="Roboto" w:cs="Roboto"/>
          <w:color w:val="000000"/>
          <w:sz w:val="14"/>
          <w:szCs w:val="14"/>
        </w:rPr>
      </w:pPr>
      <w:r w:rsidRPr="00E614E1">
        <w:rPr>
          <w:rFonts w:ascii="Roboto" w:eastAsia="Roboto" w:hAnsi="Roboto" w:cs="Roboto"/>
          <w:color w:val="000000"/>
          <w:sz w:val="14"/>
          <w:szCs w:val="14"/>
        </w:rPr>
        <w:t>Fuente: Elaboración propia.</w:t>
      </w:r>
    </w:p>
    <w:p w14:paraId="0BC9D2C4" w14:textId="77777777" w:rsidR="00A27911" w:rsidRDefault="00A27911">
      <w:pPr>
        <w:tabs>
          <w:tab w:val="left" w:pos="284"/>
        </w:tabs>
        <w:ind w:left="284" w:hanging="284"/>
        <w:jc w:val="both"/>
        <w:rPr>
          <w:rFonts w:ascii="Roboto" w:eastAsia="Roboto" w:hAnsi="Roboto" w:cs="Roboto"/>
          <w:sz w:val="20"/>
          <w:szCs w:val="20"/>
        </w:rPr>
      </w:pPr>
    </w:p>
    <w:p w14:paraId="31C3516A" w14:textId="2F99AB39" w:rsidR="00F13CF8" w:rsidRDefault="00F13CF8" w:rsidP="00F13CF8">
      <w:pPr>
        <w:tabs>
          <w:tab w:val="left" w:pos="0"/>
        </w:tabs>
        <w:jc w:val="both"/>
        <w:rPr>
          <w:rFonts w:ascii="Roboto" w:eastAsia="Roboto" w:hAnsi="Roboto" w:cs="Roboto"/>
          <w:sz w:val="20"/>
          <w:szCs w:val="20"/>
        </w:rPr>
      </w:pPr>
      <w:r>
        <w:rPr>
          <w:rFonts w:ascii="Roboto" w:eastAsia="Roboto" w:hAnsi="Roboto" w:cs="Roboto"/>
          <w:sz w:val="20"/>
          <w:szCs w:val="20"/>
        </w:rPr>
        <w:t xml:space="preserve">En consecuencia, </w:t>
      </w:r>
      <w:r w:rsidR="00DF118D">
        <w:rPr>
          <w:rFonts w:ascii="Roboto" w:eastAsia="Roboto" w:hAnsi="Roboto" w:cs="Roboto"/>
          <w:sz w:val="20"/>
          <w:szCs w:val="20"/>
        </w:rPr>
        <w:t>los</w:t>
      </w:r>
      <w:r w:rsidRPr="00F13CF8">
        <w:rPr>
          <w:rFonts w:ascii="Roboto" w:eastAsia="Roboto" w:hAnsi="Roboto" w:cs="Roboto"/>
          <w:sz w:val="20"/>
          <w:szCs w:val="20"/>
        </w:rPr>
        <w:t xml:space="preserve"> datos indican que los Tribunales Tradicionales Mayas desempeñan un papel esencial en la administración de justicia consuetudinaria, especialmente en contextos donde las relaciones familiares y comunitarias son fundamentales.</w:t>
      </w:r>
    </w:p>
    <w:p w14:paraId="0F7CB219" w14:textId="77777777" w:rsidR="00F13CF8" w:rsidRPr="00F13CF8" w:rsidRDefault="00F13CF8" w:rsidP="00F13CF8">
      <w:pPr>
        <w:tabs>
          <w:tab w:val="left" w:pos="0"/>
        </w:tabs>
        <w:jc w:val="both"/>
        <w:rPr>
          <w:rFonts w:ascii="Roboto" w:eastAsia="Roboto" w:hAnsi="Roboto" w:cs="Roboto"/>
          <w:sz w:val="20"/>
          <w:szCs w:val="20"/>
        </w:rPr>
      </w:pPr>
    </w:p>
    <w:p w14:paraId="2D170FDF" w14:textId="625F1794" w:rsidR="00F13CF8" w:rsidRPr="00F13CF8" w:rsidRDefault="00F13CF8" w:rsidP="00F13CF8">
      <w:pPr>
        <w:jc w:val="both"/>
        <w:rPr>
          <w:rFonts w:ascii="Roboto" w:eastAsia="Roboto" w:hAnsi="Roboto" w:cs="Roboto"/>
          <w:sz w:val="20"/>
          <w:szCs w:val="20"/>
        </w:rPr>
      </w:pPr>
      <w:r>
        <w:rPr>
          <w:rFonts w:ascii="Roboto" w:eastAsia="Roboto" w:hAnsi="Roboto" w:cs="Roboto"/>
          <w:sz w:val="20"/>
          <w:szCs w:val="20"/>
        </w:rPr>
        <w:t>Algo importante</w:t>
      </w:r>
      <w:r w:rsidRPr="00F13CF8">
        <w:rPr>
          <w:rFonts w:ascii="Roboto" w:eastAsia="Roboto" w:hAnsi="Roboto" w:cs="Roboto"/>
          <w:sz w:val="20"/>
          <w:szCs w:val="20"/>
        </w:rPr>
        <w:t xml:space="preserve"> </w:t>
      </w:r>
      <w:r>
        <w:rPr>
          <w:rFonts w:ascii="Roboto" w:eastAsia="Roboto" w:hAnsi="Roboto" w:cs="Roboto"/>
          <w:sz w:val="20"/>
          <w:szCs w:val="20"/>
        </w:rPr>
        <w:t>de los hallazgos de la investigación es la comprensión de</w:t>
      </w:r>
      <w:r w:rsidRPr="00F13CF8">
        <w:rPr>
          <w:rFonts w:ascii="Roboto" w:eastAsia="Roboto" w:hAnsi="Roboto" w:cs="Roboto"/>
          <w:sz w:val="20"/>
          <w:szCs w:val="20"/>
        </w:rPr>
        <w:t xml:space="preserve"> la "regla de medida"</w:t>
      </w:r>
      <w:r w:rsidR="002D2E16">
        <w:rPr>
          <w:rFonts w:ascii="Roboto" w:eastAsia="Roboto" w:hAnsi="Roboto" w:cs="Roboto"/>
          <w:sz w:val="20"/>
          <w:szCs w:val="20"/>
        </w:rPr>
        <w:t xml:space="preserve">. </w:t>
      </w:r>
      <w:r w:rsidRPr="00F13CF8">
        <w:rPr>
          <w:rFonts w:ascii="Roboto" w:eastAsia="Roboto" w:hAnsi="Roboto" w:cs="Roboto"/>
          <w:sz w:val="20"/>
          <w:szCs w:val="20"/>
        </w:rPr>
        <w:t xml:space="preserve">Esta regla de medida se basa en una evaluación detallada de la conducta del infractor, considerando factores como la intención, la gravedad del acto y su impacto en la comunidad. En los casos leves, el desempeño del infractor se limita a una simple intención de hacer amenazas de muerte o intentar quemar una casa; en el siguiente nivel, encontramos agresiones verbales o físicas; y en el nivel posterior, la agresión se dirige no solo contra una persona, sino contra la comunidad en general. Este enfoque gradual permite a los jueces diferenciar entre distintas escalas de comportamiento y aplicar sanciones proporcionales a la gravedad del </w:t>
      </w:r>
      <w:r w:rsidRPr="00F13CF8">
        <w:rPr>
          <w:rFonts w:ascii="Roboto" w:eastAsia="Roboto" w:hAnsi="Roboto" w:cs="Roboto"/>
          <w:sz w:val="20"/>
          <w:szCs w:val="20"/>
        </w:rPr>
        <w:t>delito. La reincidencia puede provocar la expulsión del infractor de la comunidad, lo que destaca la importancia de la reforma conductual y la reintegración en la comunidad.</w:t>
      </w:r>
    </w:p>
    <w:p w14:paraId="15F80577" w14:textId="77777777" w:rsidR="00F13CF8" w:rsidRDefault="00F13CF8" w:rsidP="00F13CF8">
      <w:pPr>
        <w:jc w:val="both"/>
        <w:rPr>
          <w:rFonts w:ascii="Roboto" w:eastAsia="Roboto" w:hAnsi="Roboto" w:cs="Roboto"/>
          <w:sz w:val="20"/>
          <w:szCs w:val="20"/>
        </w:rPr>
      </w:pPr>
    </w:p>
    <w:p w14:paraId="09394E2C" w14:textId="4900A721" w:rsidR="0067252F" w:rsidRDefault="00F13CF8" w:rsidP="0067252F">
      <w:pPr>
        <w:jc w:val="both"/>
        <w:rPr>
          <w:rFonts w:ascii="Roboto" w:eastAsia="Roboto" w:hAnsi="Roboto" w:cs="Roboto"/>
          <w:sz w:val="20"/>
          <w:szCs w:val="20"/>
        </w:rPr>
      </w:pPr>
      <w:r w:rsidRPr="00F13CF8">
        <w:rPr>
          <w:rFonts w:ascii="Roboto" w:eastAsia="Roboto" w:hAnsi="Roboto" w:cs="Roboto"/>
          <w:sz w:val="20"/>
          <w:szCs w:val="20"/>
        </w:rPr>
        <w:t>Dentro de este marco, las sanciones no solo buscan castigar sino también rehabilitar al infractor.</w:t>
      </w:r>
      <w:r w:rsidR="0067252F">
        <w:rPr>
          <w:rFonts w:ascii="Roboto" w:eastAsia="Roboto" w:hAnsi="Roboto" w:cs="Roboto"/>
          <w:sz w:val="20"/>
          <w:szCs w:val="20"/>
        </w:rPr>
        <w:t xml:space="preserve"> </w:t>
      </w:r>
      <w:r w:rsidR="0067252F" w:rsidRPr="0067252F">
        <w:rPr>
          <w:rFonts w:ascii="Roboto" w:eastAsia="Roboto" w:hAnsi="Roboto" w:cs="Roboto"/>
          <w:sz w:val="20"/>
          <w:szCs w:val="20"/>
        </w:rPr>
        <w:t xml:space="preserve">Este tipo de sanciones tiene un doble propósito: reparar el daño causado a la comunidad y fomentar un sentido de responsabilidad y pertenencia en el </w:t>
      </w:r>
      <w:proofErr w:type="spellStart"/>
      <w:proofErr w:type="gramStart"/>
      <w:r w:rsidR="0067252F" w:rsidRPr="0067252F">
        <w:rPr>
          <w:rFonts w:ascii="Roboto" w:eastAsia="Roboto" w:hAnsi="Roboto" w:cs="Roboto"/>
          <w:sz w:val="20"/>
          <w:szCs w:val="20"/>
        </w:rPr>
        <w:t>infractor.Este</w:t>
      </w:r>
      <w:proofErr w:type="spellEnd"/>
      <w:proofErr w:type="gramEnd"/>
      <w:r w:rsidR="0067252F" w:rsidRPr="0067252F">
        <w:rPr>
          <w:rFonts w:ascii="Roboto" w:eastAsia="Roboto" w:hAnsi="Roboto" w:cs="Roboto"/>
          <w:sz w:val="20"/>
          <w:szCs w:val="20"/>
        </w:rPr>
        <w:t xml:space="preserve"> enfoque destaca la flexibilidad y adaptabilidad del sistema de justicia tradicional maya para manejar una amplia variedad de conflictos, promoviendo la cohesión social y la reintegración de los individuos en la comunidad.</w:t>
      </w:r>
    </w:p>
    <w:p w14:paraId="11588A35" w14:textId="5AF204FF" w:rsidR="00F40444" w:rsidRDefault="00F40444" w:rsidP="0067252F">
      <w:pPr>
        <w:jc w:val="both"/>
        <w:rPr>
          <w:rFonts w:ascii="Roboto" w:eastAsia="Roboto" w:hAnsi="Roboto" w:cs="Roboto"/>
          <w:sz w:val="20"/>
          <w:szCs w:val="20"/>
        </w:rPr>
      </w:pPr>
      <w:r w:rsidRPr="00F40444">
        <w:rPr>
          <w:rFonts w:ascii="Roboto" w:eastAsia="Roboto" w:hAnsi="Roboto" w:cs="Roboto"/>
          <w:sz w:val="20"/>
          <w:szCs w:val="20"/>
        </w:rPr>
        <w:t>Las "obligaciones de dar" y las "obligaciones de hacer" destacan como sanción general, mediante la cual el infractor debe retribuir con trabajo comunitario en casos de injurias y amenazas, alteración del orden público, agresiones, daños en propiedad ajena, agresión verbal o presencia en estado de ebriedad, siendo este último el principal factor generador de conflicto en la mayoría de los casos muestra.</w:t>
      </w:r>
    </w:p>
    <w:p w14:paraId="516E6672" w14:textId="47220993" w:rsidR="00DF118D" w:rsidRPr="0067252F" w:rsidRDefault="00DF118D" w:rsidP="0067252F">
      <w:pPr>
        <w:jc w:val="both"/>
        <w:rPr>
          <w:rFonts w:ascii="Roboto" w:eastAsia="Roboto" w:hAnsi="Roboto" w:cs="Roboto"/>
          <w:sz w:val="20"/>
          <w:szCs w:val="20"/>
        </w:rPr>
      </w:pPr>
      <w:r w:rsidRPr="00DF118D">
        <w:rPr>
          <w:rFonts w:ascii="Roboto" w:eastAsia="Roboto" w:hAnsi="Roboto" w:cs="Roboto"/>
          <w:sz w:val="20"/>
          <w:szCs w:val="20"/>
        </w:rPr>
        <w:t xml:space="preserve">Resulta pertinente destacar que, pese a la denominación de “jueces”, estos no emiten sentencias en sentido estricto. En consecuencia, </w:t>
      </w:r>
      <w:r w:rsidR="002D2E16">
        <w:rPr>
          <w:rFonts w:ascii="Roboto" w:eastAsia="Roboto" w:hAnsi="Roboto" w:cs="Roboto"/>
          <w:sz w:val="20"/>
          <w:szCs w:val="20"/>
        </w:rPr>
        <w:t>t</w:t>
      </w:r>
      <w:r w:rsidRPr="00DF118D">
        <w:rPr>
          <w:rFonts w:ascii="Roboto" w:eastAsia="Roboto" w:hAnsi="Roboto" w:cs="Roboto"/>
          <w:sz w:val="20"/>
          <w:szCs w:val="20"/>
        </w:rPr>
        <w:t>odo el proceso se concentra en un único acto sustantivo, la conciliación, concebida como el eje central y determinante de la actuación, lo que redefine el alcance y la naturaleza de su intervención dentro del marco analizado.</w:t>
      </w:r>
    </w:p>
    <w:p w14:paraId="431FDDA8" w14:textId="77777777" w:rsidR="00F13CF8" w:rsidRDefault="00F13CF8">
      <w:pPr>
        <w:jc w:val="both"/>
        <w:rPr>
          <w:rFonts w:ascii="Roboto" w:eastAsia="Roboto" w:hAnsi="Roboto" w:cs="Roboto"/>
          <w:b/>
          <w:sz w:val="20"/>
          <w:szCs w:val="20"/>
        </w:rPr>
      </w:pPr>
    </w:p>
    <w:p w14:paraId="0BC9D2CE" w14:textId="2E1DAA6D" w:rsidR="00A27911" w:rsidRDefault="00DB7BFF">
      <w:pPr>
        <w:jc w:val="both"/>
        <w:rPr>
          <w:rFonts w:ascii="Roboto" w:eastAsia="Roboto" w:hAnsi="Roboto" w:cs="Roboto"/>
          <w:b/>
          <w:sz w:val="20"/>
          <w:szCs w:val="20"/>
        </w:rPr>
      </w:pPr>
      <w:r>
        <w:rPr>
          <w:rFonts w:ascii="Roboto" w:eastAsia="Roboto" w:hAnsi="Roboto" w:cs="Roboto"/>
          <w:b/>
          <w:sz w:val="20"/>
          <w:szCs w:val="20"/>
        </w:rPr>
        <w:t xml:space="preserve">REFERENCIAS </w:t>
      </w:r>
    </w:p>
    <w:p w14:paraId="72718D8D" w14:textId="4F915D6B" w:rsidR="00421FB3" w:rsidRDefault="00421FB3" w:rsidP="00421FB3">
      <w:pPr>
        <w:jc w:val="both"/>
        <w:rPr>
          <w:rFonts w:ascii="Roboto" w:eastAsia="Roboto" w:hAnsi="Roboto" w:cs="Roboto"/>
          <w:sz w:val="20"/>
          <w:szCs w:val="20"/>
        </w:rPr>
      </w:pPr>
      <w:r w:rsidRPr="00421FB3">
        <w:rPr>
          <w:rFonts w:ascii="Roboto" w:eastAsia="Roboto" w:hAnsi="Roboto" w:cs="Roboto"/>
          <w:sz w:val="20"/>
          <w:szCs w:val="20"/>
        </w:rPr>
        <w:t xml:space="preserve">Buenrostro Alba, M. (2002). “Justicia y derecho entre los mayas de Quintana Roo”. Revistas INAH - Diario de Campo, [en línea]. Recuperado el 20 de junio de 2024, en: </w:t>
      </w:r>
      <w:hyperlink r:id="rId8" w:history="1">
        <w:r w:rsidRPr="001869A8">
          <w:rPr>
            <w:rStyle w:val="Hipervnculo"/>
            <w:rFonts w:ascii="Roboto" w:eastAsia="Roboto" w:hAnsi="Roboto" w:cs="Roboto"/>
            <w:sz w:val="20"/>
            <w:szCs w:val="20"/>
          </w:rPr>
          <w:t>https://revistas.inah.gob.mx/index.php/diariodecampo/article/download/5725/6571/10843</w:t>
        </w:r>
      </w:hyperlink>
    </w:p>
    <w:p w14:paraId="4B4A45D6" w14:textId="79D2F3DE" w:rsidR="00421FB3" w:rsidRPr="00421FB3" w:rsidRDefault="00421FB3" w:rsidP="00421FB3">
      <w:pPr>
        <w:jc w:val="both"/>
        <w:rPr>
          <w:rFonts w:ascii="Roboto" w:eastAsia="Roboto" w:hAnsi="Roboto" w:cs="Roboto"/>
          <w:sz w:val="20"/>
          <w:szCs w:val="20"/>
        </w:rPr>
      </w:pPr>
      <w:proofErr w:type="spellStart"/>
      <w:r w:rsidRPr="00421FB3">
        <w:rPr>
          <w:rFonts w:ascii="Roboto" w:eastAsia="Roboto" w:hAnsi="Roboto" w:cs="Roboto"/>
          <w:sz w:val="20"/>
          <w:szCs w:val="20"/>
        </w:rPr>
        <w:t>Gregor</w:t>
      </w:r>
      <w:proofErr w:type="spellEnd"/>
      <w:r w:rsidRPr="00421FB3">
        <w:rPr>
          <w:rFonts w:ascii="Roboto" w:eastAsia="Roboto" w:hAnsi="Roboto" w:cs="Roboto"/>
          <w:sz w:val="20"/>
          <w:szCs w:val="20"/>
        </w:rPr>
        <w:t xml:space="preserve"> Barié, C., (2007). </w:t>
      </w:r>
      <w:proofErr w:type="spellStart"/>
      <w:r w:rsidRPr="00421FB3">
        <w:rPr>
          <w:rFonts w:ascii="Roboto" w:eastAsia="Roboto" w:hAnsi="Roboto" w:cs="Roboto"/>
          <w:sz w:val="20"/>
          <w:szCs w:val="20"/>
        </w:rPr>
        <w:t>Indigenous</w:t>
      </w:r>
      <w:proofErr w:type="spellEnd"/>
      <w:r w:rsidRPr="00421FB3">
        <w:rPr>
          <w:rFonts w:ascii="Roboto" w:eastAsia="Roboto" w:hAnsi="Roboto" w:cs="Roboto"/>
          <w:sz w:val="20"/>
          <w:szCs w:val="20"/>
        </w:rPr>
        <w:t xml:space="preserve"> </w:t>
      </w:r>
      <w:proofErr w:type="spellStart"/>
      <w:r w:rsidRPr="00421FB3">
        <w:rPr>
          <w:rFonts w:ascii="Roboto" w:eastAsia="Roboto" w:hAnsi="Roboto" w:cs="Roboto"/>
          <w:sz w:val="20"/>
          <w:szCs w:val="20"/>
        </w:rPr>
        <w:t>Rights</w:t>
      </w:r>
      <w:proofErr w:type="spellEnd"/>
      <w:r w:rsidRPr="00421FB3">
        <w:rPr>
          <w:rFonts w:ascii="Roboto" w:eastAsia="Roboto" w:hAnsi="Roboto" w:cs="Roboto"/>
          <w:sz w:val="20"/>
          <w:szCs w:val="20"/>
        </w:rPr>
        <w:t xml:space="preserve"> and Alternative Means </w:t>
      </w:r>
      <w:proofErr w:type="spellStart"/>
      <w:r w:rsidRPr="00421FB3">
        <w:rPr>
          <w:rFonts w:ascii="Roboto" w:eastAsia="Roboto" w:hAnsi="Roboto" w:cs="Roboto"/>
          <w:sz w:val="20"/>
          <w:szCs w:val="20"/>
        </w:rPr>
        <w:t>of</w:t>
      </w:r>
      <w:proofErr w:type="spellEnd"/>
      <w:r w:rsidRPr="00421FB3">
        <w:rPr>
          <w:rFonts w:ascii="Roboto" w:eastAsia="Roboto" w:hAnsi="Roboto" w:cs="Roboto"/>
          <w:sz w:val="20"/>
          <w:szCs w:val="20"/>
        </w:rPr>
        <w:t xml:space="preserve"> </w:t>
      </w:r>
      <w:proofErr w:type="spellStart"/>
      <w:r w:rsidRPr="00421FB3">
        <w:rPr>
          <w:rFonts w:ascii="Roboto" w:eastAsia="Roboto" w:hAnsi="Roboto" w:cs="Roboto"/>
          <w:sz w:val="20"/>
          <w:szCs w:val="20"/>
        </w:rPr>
        <w:t>Conflict</w:t>
      </w:r>
      <w:proofErr w:type="spellEnd"/>
      <w:r w:rsidRPr="00421FB3">
        <w:rPr>
          <w:rFonts w:ascii="Roboto" w:eastAsia="Roboto" w:hAnsi="Roboto" w:cs="Roboto"/>
          <w:sz w:val="20"/>
          <w:szCs w:val="20"/>
        </w:rPr>
        <w:t xml:space="preserve"> </w:t>
      </w:r>
      <w:proofErr w:type="spellStart"/>
      <w:r w:rsidRPr="00421FB3">
        <w:rPr>
          <w:rFonts w:ascii="Roboto" w:eastAsia="Roboto" w:hAnsi="Roboto" w:cs="Roboto"/>
          <w:sz w:val="20"/>
          <w:szCs w:val="20"/>
        </w:rPr>
        <w:t>Resolution</w:t>
      </w:r>
      <w:proofErr w:type="spellEnd"/>
      <w:r w:rsidRPr="00421FB3">
        <w:rPr>
          <w:rFonts w:ascii="Roboto" w:eastAsia="Roboto" w:hAnsi="Roboto" w:cs="Roboto"/>
          <w:sz w:val="20"/>
          <w:szCs w:val="20"/>
        </w:rPr>
        <w:t xml:space="preserve"> [en línea]. Repositorio Digital FLACSO. [Consultado el 2 de julio de 2024]. Disponible en: </w:t>
      </w:r>
      <w:hyperlink r:id="rId9" w:history="1">
        <w:r w:rsidRPr="001869A8">
          <w:rPr>
            <w:rStyle w:val="Hipervnculo"/>
            <w:rFonts w:ascii="Roboto" w:eastAsia="Roboto" w:hAnsi="Roboto" w:cs="Roboto"/>
            <w:sz w:val="20"/>
            <w:szCs w:val="20"/>
          </w:rPr>
          <w:t>https://repositorio.flacsoandes.edu.ec/bitstream/10469/1468/1/09.%20Artículo.%20Derecho%20Indígena%20y%20medios%20alternativos%20de%20resolución%20de%20conflictos.%20Cletus%20Gregor%20Barié.pdf</w:t>
        </w:r>
      </w:hyperlink>
    </w:p>
    <w:p w14:paraId="1546B2E5" w14:textId="5E355EBD" w:rsidR="00421FB3" w:rsidRDefault="00421FB3" w:rsidP="00421FB3">
      <w:pPr>
        <w:jc w:val="both"/>
        <w:rPr>
          <w:rFonts w:ascii="Roboto" w:eastAsia="Roboto" w:hAnsi="Roboto" w:cs="Roboto"/>
          <w:sz w:val="20"/>
          <w:szCs w:val="20"/>
        </w:rPr>
      </w:pPr>
      <w:r w:rsidRPr="00421FB3">
        <w:rPr>
          <w:rFonts w:ascii="Roboto" w:eastAsia="Roboto" w:hAnsi="Roboto" w:cs="Roboto"/>
          <w:sz w:val="20"/>
          <w:szCs w:val="20"/>
        </w:rPr>
        <w:t>Informe de actividades 202</w:t>
      </w:r>
      <w:r w:rsidR="00DC6F4F">
        <w:rPr>
          <w:rFonts w:ascii="Roboto" w:eastAsia="Roboto" w:hAnsi="Roboto" w:cs="Roboto"/>
          <w:sz w:val="20"/>
          <w:szCs w:val="20"/>
        </w:rPr>
        <w:t>4</w:t>
      </w:r>
      <w:r w:rsidRPr="00421FB3">
        <w:rPr>
          <w:rFonts w:ascii="Roboto" w:eastAsia="Roboto" w:hAnsi="Roboto" w:cs="Roboto"/>
          <w:sz w:val="20"/>
          <w:szCs w:val="20"/>
        </w:rPr>
        <w:t xml:space="preserve"> [en línea]</w:t>
      </w:r>
      <w:r w:rsidR="00DC6F4F">
        <w:rPr>
          <w:rFonts w:ascii="Roboto" w:eastAsia="Roboto" w:hAnsi="Roboto" w:cs="Roboto"/>
          <w:sz w:val="20"/>
          <w:szCs w:val="20"/>
        </w:rPr>
        <w:t>,</w:t>
      </w:r>
      <w:r w:rsidRPr="00421FB3">
        <w:rPr>
          <w:rFonts w:ascii="Roboto" w:eastAsia="Roboto" w:hAnsi="Roboto" w:cs="Roboto"/>
          <w:sz w:val="20"/>
          <w:szCs w:val="20"/>
        </w:rPr>
        <w:t xml:space="preserve"> Tribunal Unitario de Asuntos Indígenas. [Consultado el 2 de julio de 2024]. Disponible en: </w:t>
      </w:r>
      <w:hyperlink r:id="rId10" w:history="1">
        <w:r w:rsidRPr="001869A8">
          <w:rPr>
            <w:rStyle w:val="Hipervnculo"/>
            <w:rFonts w:ascii="Roboto" w:eastAsia="Roboto" w:hAnsi="Roboto" w:cs="Roboto"/>
            <w:sz w:val="20"/>
            <w:szCs w:val="20"/>
          </w:rPr>
          <w:t>https://justiciaindigena.tsjqroo.gob.mx/</w:t>
        </w:r>
      </w:hyperlink>
    </w:p>
    <w:p w14:paraId="7C27B9D6" w14:textId="77777777" w:rsidR="003100B0" w:rsidRDefault="003100B0" w:rsidP="00421FB3">
      <w:pPr>
        <w:jc w:val="both"/>
        <w:rPr>
          <w:rFonts w:ascii="Roboto" w:eastAsia="Roboto" w:hAnsi="Roboto" w:cs="Roboto"/>
          <w:b/>
          <w:bCs/>
          <w:sz w:val="20"/>
          <w:szCs w:val="20"/>
        </w:rPr>
      </w:pPr>
    </w:p>
    <w:p w14:paraId="4F2E5CC8" w14:textId="45CD9DB3" w:rsidR="00466731" w:rsidRPr="00C3739F" w:rsidRDefault="007C7F4C" w:rsidP="00421FB3">
      <w:pPr>
        <w:jc w:val="both"/>
        <w:rPr>
          <w:rFonts w:ascii="Roboto" w:eastAsia="Roboto" w:hAnsi="Roboto" w:cs="Roboto"/>
          <w:b/>
          <w:bCs/>
          <w:sz w:val="20"/>
          <w:szCs w:val="20"/>
        </w:rPr>
      </w:pPr>
      <w:r w:rsidRPr="00C3739F">
        <w:rPr>
          <w:rFonts w:ascii="Roboto" w:eastAsia="Roboto" w:hAnsi="Roboto" w:cs="Roboto"/>
          <w:b/>
          <w:bCs/>
          <w:sz w:val="20"/>
          <w:szCs w:val="20"/>
        </w:rPr>
        <w:t>AGRADECIMIENTO</w:t>
      </w:r>
    </w:p>
    <w:p w14:paraId="322ACAA9" w14:textId="5263F40F" w:rsidR="007C7F4C" w:rsidRDefault="007C7F4C" w:rsidP="00421FB3">
      <w:pPr>
        <w:jc w:val="both"/>
        <w:rPr>
          <w:rFonts w:ascii="Roboto" w:eastAsia="Roboto" w:hAnsi="Roboto" w:cs="Roboto"/>
        </w:rPr>
      </w:pPr>
      <w:r>
        <w:rPr>
          <w:rFonts w:ascii="Roboto" w:eastAsia="Roboto" w:hAnsi="Roboto" w:cs="Roboto"/>
          <w:sz w:val="20"/>
          <w:szCs w:val="20"/>
        </w:rPr>
        <w:t>Agradecimiento especial a la Facultad de Derecho de la Universidad Anáhuac Querétaro y a la Revista</w:t>
      </w:r>
      <w:r w:rsidR="00C3739F">
        <w:rPr>
          <w:rFonts w:ascii="Roboto" w:eastAsia="Roboto" w:hAnsi="Roboto" w:cs="Roboto"/>
          <w:sz w:val="20"/>
          <w:szCs w:val="20"/>
        </w:rPr>
        <w:t xml:space="preserve"> “El Constituyente” por la publicación de dicha investigación.</w:t>
      </w:r>
    </w:p>
    <w:sectPr w:rsidR="007C7F4C">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19EB7B" w14:textId="77777777" w:rsidR="00EE17DA" w:rsidRDefault="00EE17DA">
      <w:r>
        <w:separator/>
      </w:r>
    </w:p>
  </w:endnote>
  <w:endnote w:type="continuationSeparator" w:id="0">
    <w:p w14:paraId="5195717C" w14:textId="77777777" w:rsidR="00EE17DA" w:rsidRDefault="00EE17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244927DC-B82C-4B57-AEC1-7059EB226364}"/>
  </w:font>
  <w:font w:name="Georgia">
    <w:panose1 w:val="02040502050405020303"/>
    <w:charset w:val="00"/>
    <w:family w:val="roman"/>
    <w:pitch w:val="variable"/>
    <w:sig w:usb0="00000287" w:usb1="00000000" w:usb2="00000000" w:usb3="00000000" w:csb0="0000009F" w:csb1="00000000"/>
    <w:embedRegular r:id="rId2" w:fontKey="{A69D0A8C-B05F-4120-827D-1793A29B7FE7}"/>
    <w:embedItalic r:id="rId3" w:fontKey="{CA755D31-6FF1-4065-B13D-BEF3248D5A6F}"/>
  </w:font>
  <w:font w:name="Roboto">
    <w:panose1 w:val="00000000000000000000"/>
    <w:charset w:val="00"/>
    <w:family w:val="auto"/>
    <w:pitch w:val="variable"/>
    <w:sig w:usb0="E00002EF" w:usb1="5000205B" w:usb2="00000020" w:usb3="00000000" w:csb0="0000019F" w:csb1="00000000"/>
    <w:embedRegular r:id="rId4" w:fontKey="{87F5D3D3-6232-4475-B69A-C4DD39DA94A7}"/>
    <w:embedBold r:id="rId5" w:fontKey="{79FD1701-80FE-4039-AFB7-54E1CDCBEA46}"/>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6EC7E033-BFE0-4DE5-B84F-5474B6C48A13}"/>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427058" w14:textId="77777777" w:rsidR="00EE17DA" w:rsidRDefault="00EE17DA">
      <w:r>
        <w:separator/>
      </w:r>
    </w:p>
  </w:footnote>
  <w:footnote w:type="continuationSeparator" w:id="0">
    <w:p w14:paraId="732FE79A" w14:textId="77777777" w:rsidR="00EE17DA" w:rsidRDefault="00EE17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9D2D6" w14:textId="77777777" w:rsidR="00A27911" w:rsidRDefault="00A27911">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A27911" w14:paraId="0BC9D2D8" w14:textId="77777777">
      <w:trPr>
        <w:trHeight w:val="345"/>
        <w:jc w:val="center"/>
      </w:trPr>
      <w:tc>
        <w:tcPr>
          <w:tcW w:w="6306" w:type="dxa"/>
          <w:vAlign w:val="center"/>
        </w:tcPr>
        <w:p w14:paraId="0BC9D2D7" w14:textId="77777777" w:rsidR="00A27911" w:rsidRDefault="00A27911">
          <w:pPr>
            <w:jc w:val="center"/>
            <w:rPr>
              <w:i/>
              <w:sz w:val="18"/>
              <w:szCs w:val="18"/>
            </w:rPr>
          </w:pPr>
        </w:p>
      </w:tc>
    </w:tr>
  </w:tbl>
  <w:p w14:paraId="0BC9D2D9" w14:textId="77777777" w:rsidR="00A27911" w:rsidRDefault="00A27911">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7911"/>
    <w:rsid w:val="00006F12"/>
    <w:rsid w:val="00114935"/>
    <w:rsid w:val="0028420D"/>
    <w:rsid w:val="002A06E2"/>
    <w:rsid w:val="002D2E16"/>
    <w:rsid w:val="002D482F"/>
    <w:rsid w:val="003100B0"/>
    <w:rsid w:val="00341D9A"/>
    <w:rsid w:val="00391C8B"/>
    <w:rsid w:val="003D52C4"/>
    <w:rsid w:val="00421FB3"/>
    <w:rsid w:val="00466731"/>
    <w:rsid w:val="00511F11"/>
    <w:rsid w:val="00624579"/>
    <w:rsid w:val="0067252F"/>
    <w:rsid w:val="00727644"/>
    <w:rsid w:val="0076637A"/>
    <w:rsid w:val="007C3A36"/>
    <w:rsid w:val="007C419B"/>
    <w:rsid w:val="007C7F4C"/>
    <w:rsid w:val="00806719"/>
    <w:rsid w:val="00855443"/>
    <w:rsid w:val="00874BBE"/>
    <w:rsid w:val="00894093"/>
    <w:rsid w:val="00941CF0"/>
    <w:rsid w:val="00944216"/>
    <w:rsid w:val="00976C2C"/>
    <w:rsid w:val="009B470C"/>
    <w:rsid w:val="00A02A23"/>
    <w:rsid w:val="00A27911"/>
    <w:rsid w:val="00A72D36"/>
    <w:rsid w:val="00A85835"/>
    <w:rsid w:val="00AE769C"/>
    <w:rsid w:val="00B91DEF"/>
    <w:rsid w:val="00BF48B7"/>
    <w:rsid w:val="00C3739F"/>
    <w:rsid w:val="00C87BDD"/>
    <w:rsid w:val="00C93E0E"/>
    <w:rsid w:val="00CF5991"/>
    <w:rsid w:val="00D22A45"/>
    <w:rsid w:val="00D547AA"/>
    <w:rsid w:val="00D6294E"/>
    <w:rsid w:val="00DB7BFF"/>
    <w:rsid w:val="00DC6F4F"/>
    <w:rsid w:val="00DD3D4A"/>
    <w:rsid w:val="00DF118D"/>
    <w:rsid w:val="00E3530D"/>
    <w:rsid w:val="00E614E1"/>
    <w:rsid w:val="00E804A9"/>
    <w:rsid w:val="00EE17DA"/>
    <w:rsid w:val="00F13CF8"/>
    <w:rsid w:val="00F40444"/>
    <w:rsid w:val="00F9102B"/>
    <w:rsid w:val="00F9454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9D2A6"/>
  <w15:docId w15:val="{313570A8-E625-4707-AF9D-267F34A8E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Prrafodelista">
    <w:name w:val="List Paragraph"/>
    <w:basedOn w:val="Normal"/>
    <w:uiPriority w:val="34"/>
    <w:qFormat/>
    <w:rsid w:val="007C3A36"/>
    <w:pPr>
      <w:ind w:left="720"/>
      <w:contextualSpacing/>
    </w:pPr>
  </w:style>
  <w:style w:type="table" w:styleId="Tablaconcuadrcula">
    <w:name w:val="Table Grid"/>
    <w:basedOn w:val="Tablanormal"/>
    <w:uiPriority w:val="39"/>
    <w:rsid w:val="002A06E2"/>
    <w:rPr>
      <w:rFonts w:asciiTheme="minorHAnsi" w:eastAsiaTheme="minorHAnsi" w:hAnsiTheme="minorHAnsi" w:cstheme="minorBidi"/>
      <w:kern w:val="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421FB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revistas.inah.gob.mx/index.php/diariodecampo/article/download/5725/6571/10843"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justiciaindigena.tsjqroo.gob.mx/" TargetMode="External"/><Relationship Id="rId4" Type="http://schemas.openxmlformats.org/officeDocument/2006/relationships/webSettings" Target="webSettings.xml"/><Relationship Id="rId9" Type="http://schemas.openxmlformats.org/officeDocument/2006/relationships/hyperlink" Target="https://repositorio.flacsoandes.edu.ec/bitstream/10469/1468/1/09.%20Art&#237;culo.%20Derecho%20Ind&#237;gena%20y%20medios%20alternativos%20de%20resoluci&#243;n%20de%20conflictos.%20Cletus%20Gregor%20Bari&#233;.pdf"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1508</Words>
  <Characters>9139</Characters>
  <Application>Microsoft Office Word</Application>
  <DocSecurity>0</DocSecurity>
  <Lines>276</Lines>
  <Paragraphs>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Dr. Luis Constantino Elizondo Paredes</cp:lastModifiedBy>
  <cp:revision>4</cp:revision>
  <dcterms:created xsi:type="dcterms:W3CDTF">2026-02-04T01:42:00Z</dcterms:created>
  <dcterms:modified xsi:type="dcterms:W3CDTF">2026-02-04T01:57:00Z</dcterms:modified>
</cp:coreProperties>
</file>