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7B019E" w14:textId="77777777" w:rsidR="0076099C" w:rsidRPr="001D3DE8" w:rsidRDefault="0076099C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Style w:val="Textoennegrita"/>
          <w:rFonts w:ascii="Roboto" w:hAnsi="Roboto" w:cs="Segoe UI"/>
          <w:color w:val="0F1115"/>
          <w:shd w:val="clear" w:color="auto" w:fill="FFFFFF"/>
        </w:rPr>
      </w:pPr>
      <w:r>
        <w:rPr>
          <w:rStyle w:val="Textoennegrita"/>
          <w:rFonts w:ascii="Segoe UI" w:hAnsi="Segoe UI" w:cs="Segoe UI"/>
          <w:color w:val="0F1115"/>
          <w:shd w:val="clear" w:color="auto" w:fill="FFFFFF"/>
        </w:rPr>
        <w:t xml:space="preserve"> Perfil de Resistencia Antimicrobiana en Infecciones del Tracto Urinario y Patrones de </w:t>
      </w:r>
      <w:r w:rsidRPr="001D3DE8">
        <w:rPr>
          <w:rStyle w:val="Textoennegrita"/>
          <w:rFonts w:ascii="Roboto" w:hAnsi="Roboto" w:cs="Segoe UI"/>
          <w:color w:val="0F1115"/>
          <w:shd w:val="clear" w:color="auto" w:fill="FFFFFF"/>
        </w:rPr>
        <w:t>Consumo de Antibióticos en las Regiones de Puebla y Tlaxcala, México</w:t>
      </w:r>
    </w:p>
    <w:p w14:paraId="3353E697" w14:textId="7F34BE71" w:rsidR="00696719" w:rsidRPr="001D3DE8" w:rsidRDefault="00620310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color w:val="000000"/>
          <w:sz w:val="20"/>
          <w:szCs w:val="20"/>
        </w:rPr>
      </w:pPr>
      <w:r w:rsidRPr="001D3DE8">
        <w:rPr>
          <w:rFonts w:ascii="Roboto" w:eastAsia="Roboto" w:hAnsi="Roboto" w:cs="Roboto"/>
          <w:b/>
          <w:color w:val="000000"/>
          <w:sz w:val="20"/>
          <w:szCs w:val="20"/>
        </w:rPr>
        <w:t>Soto-Vega Elena</w:t>
      </w:r>
      <w:r w:rsidR="002F0A6A" w:rsidRPr="001D3DE8">
        <w:rPr>
          <w:rFonts w:ascii="Roboto" w:eastAsia="Roboto" w:hAnsi="Roboto" w:cs="Roboto"/>
          <w:b/>
          <w:color w:val="000000"/>
          <w:sz w:val="20"/>
          <w:szCs w:val="20"/>
        </w:rPr>
        <w:t>.</w:t>
      </w:r>
      <w:r w:rsidR="002F0A6A" w:rsidRPr="001D3DE8"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1</w:t>
      </w:r>
      <w:r w:rsidRPr="001D3DE8"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*</w:t>
      </w:r>
      <w:r w:rsidR="002F0A6A" w:rsidRPr="001D3DE8">
        <w:rPr>
          <w:rFonts w:ascii="Roboto" w:eastAsia="Roboto" w:hAnsi="Roboto" w:cs="Roboto"/>
          <w:b/>
          <w:color w:val="000000"/>
          <w:sz w:val="20"/>
          <w:szCs w:val="20"/>
        </w:rPr>
        <w:t>,</w:t>
      </w:r>
      <w:r w:rsidRPr="001D3DE8">
        <w:rPr>
          <w:rFonts w:ascii="Roboto" w:eastAsia="Roboto" w:hAnsi="Roboto" w:cs="Roboto"/>
          <w:b/>
          <w:color w:val="000000"/>
          <w:sz w:val="20"/>
          <w:szCs w:val="20"/>
        </w:rPr>
        <w:t xml:space="preserve"> Arroyo Carlos</w:t>
      </w:r>
      <w:r w:rsidR="002F0A6A" w:rsidRPr="001D3DE8">
        <w:rPr>
          <w:rFonts w:ascii="Roboto" w:eastAsia="Roboto" w:hAnsi="Roboto" w:cs="Roboto"/>
          <w:b/>
          <w:color w:val="000000"/>
          <w:sz w:val="20"/>
          <w:szCs w:val="20"/>
        </w:rPr>
        <w:t>.</w:t>
      </w:r>
      <w:r w:rsidRPr="001D3DE8"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1,</w:t>
      </w:r>
      <w:r w:rsidR="002F0A6A" w:rsidRPr="001D3DE8"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2</w:t>
      </w:r>
    </w:p>
    <w:p w14:paraId="34C1F06B" w14:textId="44906414" w:rsidR="00696719" w:rsidRPr="001D3DE8" w:rsidRDefault="002F0A6A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Roboto" w:eastAsia="Roboto" w:hAnsi="Roboto" w:cs="Roboto"/>
          <w:color w:val="000000"/>
          <w:sz w:val="20"/>
          <w:szCs w:val="20"/>
          <w:vertAlign w:val="superscript"/>
        </w:rPr>
      </w:pPr>
      <w:r w:rsidRPr="001D3DE8">
        <w:rPr>
          <w:rFonts w:ascii="Roboto" w:eastAsia="Roboto" w:hAnsi="Roboto" w:cs="Roboto"/>
          <w:color w:val="000000"/>
          <w:sz w:val="20"/>
          <w:szCs w:val="20"/>
          <w:vertAlign w:val="superscript"/>
        </w:rPr>
        <w:t>1</w:t>
      </w:r>
      <w:r w:rsidR="00620310" w:rsidRPr="001D3DE8">
        <w:rPr>
          <w:rFonts w:ascii="Roboto" w:eastAsia="Roboto" w:hAnsi="Roboto" w:cs="Roboto"/>
          <w:color w:val="000000"/>
          <w:sz w:val="20"/>
          <w:szCs w:val="20"/>
        </w:rPr>
        <w:t>Escuela de Ciencias de la Salud, Universidad Anáhuac Puebla</w:t>
      </w:r>
      <w:r w:rsidRPr="001D3DE8">
        <w:rPr>
          <w:rFonts w:ascii="Roboto" w:eastAsia="Roboto" w:hAnsi="Roboto" w:cs="Roboto"/>
          <w:color w:val="000000"/>
          <w:sz w:val="20"/>
          <w:szCs w:val="20"/>
        </w:rPr>
        <w:t>, ORCID</w:t>
      </w:r>
      <w:r w:rsidR="00620310" w:rsidRPr="001D3DE8">
        <w:rPr>
          <w:rFonts w:ascii="Roboto" w:eastAsia="Roboto" w:hAnsi="Roboto" w:cs="Roboto"/>
          <w:color w:val="000000"/>
          <w:sz w:val="20"/>
          <w:szCs w:val="20"/>
        </w:rPr>
        <w:t xml:space="preserve"> 0000-0003-3106-0789</w:t>
      </w:r>
    </w:p>
    <w:p w14:paraId="0F31103E" w14:textId="2AE498E0" w:rsidR="00696719" w:rsidRPr="001D3DE8" w:rsidRDefault="002F0A6A">
      <w:pPr>
        <w:jc w:val="center"/>
        <w:rPr>
          <w:rFonts w:ascii="Roboto" w:eastAsia="Roboto" w:hAnsi="Roboto" w:cs="Roboto"/>
          <w:sz w:val="20"/>
          <w:szCs w:val="20"/>
        </w:rPr>
      </w:pPr>
      <w:r w:rsidRPr="001D3DE8">
        <w:rPr>
          <w:rFonts w:ascii="Roboto" w:eastAsia="Roboto" w:hAnsi="Roboto" w:cs="Roboto"/>
          <w:sz w:val="20"/>
          <w:szCs w:val="20"/>
          <w:vertAlign w:val="superscript"/>
        </w:rPr>
        <w:t>2</w:t>
      </w:r>
      <w:r w:rsidR="00620310" w:rsidRPr="001D3DE8">
        <w:rPr>
          <w:rFonts w:ascii="Roboto" w:eastAsia="Roboto" w:hAnsi="Roboto" w:cs="Roboto"/>
          <w:sz w:val="20"/>
          <w:szCs w:val="20"/>
        </w:rPr>
        <w:t>Hospital Ángeles de Puebla</w:t>
      </w:r>
      <w:r w:rsidRPr="001D3DE8">
        <w:rPr>
          <w:rFonts w:ascii="Roboto" w:eastAsia="Roboto" w:hAnsi="Roboto" w:cs="Roboto"/>
          <w:sz w:val="20"/>
          <w:szCs w:val="20"/>
        </w:rPr>
        <w:t>, ORCID</w:t>
      </w:r>
      <w:r w:rsidR="0076099C" w:rsidRPr="001D3DE8">
        <w:rPr>
          <w:rFonts w:ascii="Roboto" w:eastAsia="Roboto" w:hAnsi="Roboto" w:cs="Roboto"/>
          <w:sz w:val="20"/>
          <w:szCs w:val="20"/>
        </w:rPr>
        <w:t xml:space="preserve"> 0000-0002-4604-7483</w:t>
      </w:r>
    </w:p>
    <w:p w14:paraId="6848C60E" w14:textId="5655E6D5" w:rsidR="00696719" w:rsidRPr="001D3DE8" w:rsidRDefault="002F0A6A">
      <w:pPr>
        <w:jc w:val="center"/>
        <w:rPr>
          <w:rFonts w:ascii="Roboto" w:eastAsia="Roboto" w:hAnsi="Roboto" w:cs="Roboto"/>
          <w:sz w:val="20"/>
          <w:szCs w:val="20"/>
        </w:rPr>
      </w:pPr>
      <w:r w:rsidRPr="001D3DE8">
        <w:rPr>
          <w:rFonts w:ascii="Roboto" w:eastAsia="Roboto" w:hAnsi="Roboto" w:cs="Roboto"/>
          <w:sz w:val="20"/>
          <w:szCs w:val="20"/>
        </w:rPr>
        <w:t>*Autor de correspondencia (e-mail:</w:t>
      </w:r>
      <w:r w:rsidRPr="001D3DE8">
        <w:rPr>
          <w:rFonts w:ascii="Roboto" w:eastAsia="Roboto" w:hAnsi="Roboto" w:cs="Roboto"/>
          <w:sz w:val="20"/>
          <w:szCs w:val="20"/>
          <w:highlight w:val="white"/>
        </w:rPr>
        <w:t xml:space="preserve"> </w:t>
      </w:r>
      <w:r w:rsidR="0076099C" w:rsidRPr="001D3DE8">
        <w:rPr>
          <w:rFonts w:ascii="Roboto" w:eastAsia="Roboto" w:hAnsi="Roboto" w:cs="Roboto"/>
          <w:sz w:val="20"/>
          <w:szCs w:val="20"/>
        </w:rPr>
        <w:t>elena.soto20@anahuac.mx</w:t>
      </w:r>
      <w:r w:rsidRPr="001D3DE8">
        <w:rPr>
          <w:rFonts w:ascii="Roboto" w:eastAsia="Roboto" w:hAnsi="Roboto" w:cs="Roboto"/>
          <w:sz w:val="20"/>
          <w:szCs w:val="20"/>
        </w:rPr>
        <w:t>)</w:t>
      </w:r>
    </w:p>
    <w:p w14:paraId="4AE2F561" w14:textId="77777777" w:rsidR="00696719" w:rsidRPr="001D3DE8" w:rsidRDefault="002F0A6A">
      <w:pPr>
        <w:spacing w:before="60"/>
        <w:jc w:val="center"/>
        <w:rPr>
          <w:rFonts w:ascii="Roboto" w:eastAsia="Roboto" w:hAnsi="Roboto" w:cs="Roboto"/>
          <w:sz w:val="20"/>
          <w:szCs w:val="20"/>
        </w:rPr>
        <w:sectPr w:rsidR="00696719" w:rsidRPr="001D3DE8">
          <w:headerReference w:type="default" r:id="rId8"/>
          <w:pgSz w:w="11906" w:h="16838"/>
          <w:pgMar w:top="851" w:right="851" w:bottom="828" w:left="851" w:header="357" w:footer="720" w:gutter="0"/>
          <w:pgNumType w:start="1"/>
          <w:cols w:space="720"/>
        </w:sectPr>
      </w:pPr>
      <w:r w:rsidRPr="001D3DE8">
        <w:rPr>
          <w:rFonts w:ascii="Roboto" w:hAnsi="Roboto"/>
          <w:sz w:val="20"/>
          <w:szCs w:val="20"/>
        </w:rPr>
        <w:pict w14:anchorId="7F116E6F">
          <v:rect id="_x0000_i1028" style="width:0;height:1.5pt" o:hralign="center" o:hrstd="t" o:hr="t" fillcolor="#a0a0a0" stroked="f"/>
        </w:pict>
      </w:r>
    </w:p>
    <w:p w14:paraId="7FEC7276" w14:textId="03912695" w:rsidR="00696719" w:rsidRPr="001D3DE8" w:rsidRDefault="001D3DE8">
      <w:pPr>
        <w:pBdr>
          <w:top w:val="nil"/>
          <w:left w:val="nil"/>
          <w:bottom w:val="nil"/>
          <w:right w:val="nil"/>
          <w:between w:val="nil"/>
        </w:pBdr>
        <w:spacing w:before="60"/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 w:rsidRPr="001D3DE8">
        <w:rPr>
          <w:rFonts w:ascii="Roboto" w:eastAsia="Roboto" w:hAnsi="Roboto" w:cs="Roboto"/>
          <w:b/>
          <w:color w:val="000000"/>
          <w:sz w:val="20"/>
          <w:szCs w:val="20"/>
        </w:rPr>
        <w:t>Introducción</w:t>
      </w:r>
    </w:p>
    <w:p w14:paraId="100D4FBD" w14:textId="295D113D" w:rsidR="00696719" w:rsidRPr="001D3DE8" w:rsidRDefault="001D3DE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 w:rsidRPr="001D3DE8">
        <w:rPr>
          <w:rFonts w:ascii="Roboto" w:hAnsi="Roboto" w:cs="Segoe UI"/>
          <w:color w:val="0F1115"/>
          <w:sz w:val="20"/>
          <w:szCs w:val="20"/>
          <w:shd w:val="clear" w:color="auto" w:fill="FFFFFF"/>
        </w:rPr>
        <w:t>Las Infecciones del Tracto Urinario (ITU) son una condición clínica prevalente, caracterizada por síntomas como disuria, frecuencia urinaria, dolor suprapúbico y urgencia, con confirmación mediante urocultivo positivo. Constituyen un problema mayor de salud pública a nivel global, con más de 150 millones de casos anuales.</w:t>
      </w:r>
      <w:r w:rsidR="00C43D1A">
        <w:rPr>
          <w:rFonts w:ascii="Roboto" w:hAnsi="Roboto" w:cs="Segoe UI"/>
          <w:color w:val="0F1115"/>
          <w:sz w:val="20"/>
          <w:szCs w:val="20"/>
          <w:shd w:val="clear" w:color="auto" w:fill="FFFFFF"/>
        </w:rPr>
        <w:t xml:space="preserve"> (1)</w:t>
      </w:r>
      <w:r w:rsidRPr="001D3DE8">
        <w:rPr>
          <w:rFonts w:ascii="Roboto" w:hAnsi="Roboto" w:cs="Segoe UI"/>
          <w:color w:val="0F1115"/>
          <w:sz w:val="20"/>
          <w:szCs w:val="20"/>
          <w:shd w:val="clear" w:color="auto" w:fill="FFFFFF"/>
        </w:rPr>
        <w:t xml:space="preserve"> En México, son la tercera causa de morbilidad, con una incidencia anual que supera los 4 millones de casos, afectando principalmente a adultos de 25 a 44 años. </w:t>
      </w:r>
      <w:r w:rsidR="00C43D1A">
        <w:rPr>
          <w:rFonts w:ascii="Roboto" w:hAnsi="Roboto" w:cs="Segoe UI"/>
          <w:color w:val="0F1115"/>
          <w:sz w:val="20"/>
          <w:szCs w:val="20"/>
          <w:shd w:val="clear" w:color="auto" w:fill="FFFFFF"/>
        </w:rPr>
        <w:t xml:space="preserve">(2) </w:t>
      </w:r>
      <w:r w:rsidRPr="001D3DE8">
        <w:rPr>
          <w:rFonts w:ascii="Roboto" w:hAnsi="Roboto" w:cs="Segoe UI"/>
          <w:color w:val="0F1115"/>
          <w:sz w:val="20"/>
          <w:szCs w:val="20"/>
          <w:shd w:val="clear" w:color="auto" w:fill="FFFFFF"/>
        </w:rPr>
        <w:t>El principal desafío en su manejo es la Resistencia Antimicrobiana (RAM), exacerbada por factores como la prescripción empírica sin antibiograma, el uso indiscriminado de antibióticos de amplio espectro y la automedicación. La Organización Mundial de la Salud (OMS) ha identificado la RAM como una de las principales amenazas para la salud mundial. En México, la vigilancia de la RAM es limitada y fragmentada, careciendo de un sistema nacional unificado, lo que dificulta la toma de decisiones terapéuticas basadas en evidencia local.</w:t>
      </w:r>
      <w:r w:rsidR="00C43D1A">
        <w:rPr>
          <w:rFonts w:ascii="Roboto" w:hAnsi="Roboto" w:cs="Segoe UI"/>
          <w:color w:val="0F1115"/>
          <w:sz w:val="20"/>
          <w:szCs w:val="20"/>
          <w:shd w:val="clear" w:color="auto" w:fill="FFFFFF"/>
        </w:rPr>
        <w:t xml:space="preserve"> (3</w:t>
      </w:r>
      <w:r w:rsidR="001B037E">
        <w:rPr>
          <w:rFonts w:ascii="Roboto" w:hAnsi="Roboto" w:cs="Segoe UI"/>
          <w:color w:val="0F1115"/>
          <w:sz w:val="20"/>
          <w:szCs w:val="20"/>
          <w:shd w:val="clear" w:color="auto" w:fill="FFFFFF"/>
        </w:rPr>
        <w:t>-5)</w:t>
      </w:r>
    </w:p>
    <w:p w14:paraId="69B8B6A9" w14:textId="2CE31BB3" w:rsidR="00696719" w:rsidRPr="001D3DE8" w:rsidRDefault="001D3DE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 w:rsidRPr="001D3DE8">
        <w:rPr>
          <w:rFonts w:ascii="Roboto" w:eastAsia="Roboto" w:hAnsi="Roboto" w:cs="Roboto"/>
          <w:b/>
          <w:color w:val="000000"/>
          <w:sz w:val="20"/>
          <w:szCs w:val="20"/>
        </w:rPr>
        <w:t>Objetivo</w:t>
      </w:r>
    </w:p>
    <w:p w14:paraId="519619F6" w14:textId="29AC0366" w:rsidR="00696719" w:rsidRPr="001D3DE8" w:rsidRDefault="001D3DE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 w:rsidRPr="001D3DE8">
        <w:rPr>
          <w:rFonts w:ascii="Roboto" w:hAnsi="Roboto" w:cs="Segoe UI"/>
          <w:color w:val="0F1115"/>
          <w:sz w:val="20"/>
          <w:szCs w:val="20"/>
          <w:shd w:val="clear" w:color="auto" w:fill="FFFFFF"/>
        </w:rPr>
        <w:t xml:space="preserve">Analizar el perfil microbiológico y los patrones de resistencia antimicrobiana de </w:t>
      </w:r>
      <w:proofErr w:type="spellStart"/>
      <w:r w:rsidRPr="001D3DE8">
        <w:rPr>
          <w:rFonts w:ascii="Roboto" w:hAnsi="Roboto" w:cs="Segoe UI"/>
          <w:color w:val="0F1115"/>
          <w:sz w:val="20"/>
          <w:szCs w:val="20"/>
          <w:shd w:val="clear" w:color="auto" w:fill="FFFFFF"/>
        </w:rPr>
        <w:t>uropatógenos</w:t>
      </w:r>
      <w:proofErr w:type="spellEnd"/>
      <w:r w:rsidRPr="001D3DE8">
        <w:rPr>
          <w:rFonts w:ascii="Roboto" w:hAnsi="Roboto" w:cs="Segoe UI"/>
          <w:color w:val="0F1115"/>
          <w:sz w:val="20"/>
          <w:szCs w:val="20"/>
          <w:shd w:val="clear" w:color="auto" w:fill="FFFFFF"/>
        </w:rPr>
        <w:t xml:space="preserve"> aislados de urocultivos, así como el perfil de consumo de antibióticos, en las regiones de Puebla y Tlaxcala, México, durante el período 2023-2024.</w:t>
      </w:r>
    </w:p>
    <w:p w14:paraId="066EDA99" w14:textId="04C14C5C" w:rsidR="00696719" w:rsidRPr="001D3DE8" w:rsidRDefault="001D3DE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>Metodología</w:t>
      </w:r>
    </w:p>
    <w:p w14:paraId="520B5E6D" w14:textId="4C988992" w:rsidR="00696719" w:rsidRDefault="001D3DE8" w:rsidP="001D3DE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hAnsi="Roboto" w:cs="Segoe UI"/>
          <w:color w:val="0F1115"/>
          <w:sz w:val="20"/>
          <w:szCs w:val="20"/>
          <w:shd w:val="clear" w:color="auto" w:fill="FFFFFF"/>
        </w:rPr>
      </w:pPr>
      <w:r w:rsidRPr="001D3DE8">
        <w:rPr>
          <w:rFonts w:ascii="Roboto" w:hAnsi="Roboto" w:cs="Segoe UI"/>
          <w:color w:val="0F1115"/>
          <w:sz w:val="20"/>
          <w:szCs w:val="20"/>
          <w:shd w:val="clear" w:color="auto" w:fill="FFFFFF"/>
        </w:rPr>
        <w:t xml:space="preserve">Se realizó un estudio descriptivo, retrospectivo y transversal analizando datos de urocultivos y antibiogramas de dos fuentes: una base de datos de un laboratorio privado en Puebla (con resultados positivos y negativos, edad y género) y los urocultivos positivos proporcionados por la Secretaría de Salud (SSA) de Tlaxcala. Se analizaron 14,066 urocultivos (11,870 de Puebla y 2,196 de Tlaxcala) después de la depuración de datos incompletos. En paralelo, se recopiló información sobre la adquisición de antibióticos por parte de instituciones públicas y privadas en la misma región. El procesamiento microbiológico y la interpretación de los antibiogramas se realizaron siguiendo los estándares del CLSI. El análisis estadístico se efectuó con el software </w:t>
      </w:r>
      <w:proofErr w:type="spellStart"/>
      <w:r w:rsidRPr="001D3DE8">
        <w:rPr>
          <w:rFonts w:ascii="Roboto" w:hAnsi="Roboto" w:cs="Segoe UI"/>
          <w:color w:val="0F1115"/>
          <w:sz w:val="20"/>
          <w:szCs w:val="20"/>
          <w:shd w:val="clear" w:color="auto" w:fill="FFFFFF"/>
        </w:rPr>
        <w:t>Prism</w:t>
      </w:r>
      <w:proofErr w:type="spellEnd"/>
      <w:r w:rsidRPr="001D3DE8">
        <w:rPr>
          <w:rFonts w:ascii="Roboto" w:hAnsi="Roboto" w:cs="Segoe UI"/>
          <w:color w:val="0F1115"/>
          <w:sz w:val="20"/>
          <w:szCs w:val="20"/>
          <w:shd w:val="clear" w:color="auto" w:fill="FFFFFF"/>
        </w:rPr>
        <w:t>, utilizando la prueba de Chi-cuadrada.</w:t>
      </w:r>
    </w:p>
    <w:p w14:paraId="12E27CE2" w14:textId="77777777" w:rsidR="00EA521D" w:rsidRPr="001D3DE8" w:rsidRDefault="00EA521D" w:rsidP="001D3DE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sz w:val="20"/>
          <w:szCs w:val="20"/>
        </w:rPr>
      </w:pPr>
    </w:p>
    <w:p w14:paraId="4FA3FC5A" w14:textId="77777777" w:rsidR="00EA521D" w:rsidRDefault="001D3DE8" w:rsidP="00EA521D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  <w:r w:rsidRPr="001D3DE8">
        <w:rPr>
          <w:rFonts w:ascii="Roboto" w:eastAsia="Roboto" w:hAnsi="Roboto" w:cs="Roboto"/>
          <w:b/>
          <w:bCs/>
          <w:sz w:val="20"/>
          <w:szCs w:val="20"/>
        </w:rPr>
        <w:t>Resultados</w:t>
      </w:r>
      <w:r w:rsidR="00EA521D">
        <w:rPr>
          <w:rFonts w:ascii="Roboto" w:eastAsia="Roboto" w:hAnsi="Roboto" w:cs="Roboto"/>
          <w:b/>
          <w:bCs/>
          <w:sz w:val="20"/>
          <w:szCs w:val="20"/>
        </w:rPr>
        <w:t xml:space="preserve"> </w:t>
      </w:r>
    </w:p>
    <w:p w14:paraId="1804B33A" w14:textId="4410B2B1" w:rsidR="001D3DE8" w:rsidRPr="00EA521D" w:rsidRDefault="001D3DE8" w:rsidP="00EA521D">
      <w:pPr>
        <w:jc w:val="both"/>
        <w:rPr>
          <w:rFonts w:ascii="Roboto" w:eastAsia="Roboto" w:hAnsi="Roboto" w:cs="Roboto"/>
          <w:sz w:val="20"/>
          <w:szCs w:val="20"/>
        </w:rPr>
      </w:pPr>
      <w:r w:rsidRPr="00EA521D">
        <w:rPr>
          <w:rStyle w:val="Textoennegrita"/>
          <w:rFonts w:ascii="Roboto" w:hAnsi="Roboto" w:cs="Segoe UI"/>
          <w:b w:val="0"/>
          <w:bCs w:val="0"/>
          <w:color w:val="0F1115"/>
          <w:sz w:val="20"/>
          <w:szCs w:val="20"/>
        </w:rPr>
        <w:t>Prevalencia y Demografía:</w:t>
      </w:r>
      <w:r w:rsidRPr="00EA521D">
        <w:rPr>
          <w:rFonts w:ascii="Roboto" w:hAnsi="Roboto" w:cs="Segoe UI"/>
          <w:color w:val="0F1115"/>
          <w:sz w:val="20"/>
          <w:szCs w:val="20"/>
        </w:rPr>
        <w:t> La tasa global de urocultivos positivos fue del 37% (5,204/14,066). Las mujeres presentaron una tasa significativamente mayor (80.8%) en comparación con los hombres (19.2%) (p ≤ 0.001). La edad promedio de los pacientes fue de 50.5 ± 22.9 años.</w:t>
      </w:r>
    </w:p>
    <w:p w14:paraId="71362E0D" w14:textId="5E609720" w:rsidR="001D3DE8" w:rsidRPr="00EA521D" w:rsidRDefault="001D3DE8" w:rsidP="00EA521D">
      <w:pPr>
        <w:pStyle w:val="ds-markdown-paragraph"/>
        <w:shd w:val="clear" w:color="auto" w:fill="FFFFFF"/>
        <w:spacing w:after="120" w:afterAutospacing="0" w:line="240" w:lineRule="atLeast"/>
        <w:jc w:val="both"/>
        <w:rPr>
          <w:rFonts w:ascii="Roboto" w:hAnsi="Roboto" w:cs="Segoe UI"/>
          <w:color w:val="0F1115"/>
          <w:sz w:val="20"/>
          <w:szCs w:val="20"/>
        </w:rPr>
      </w:pPr>
      <w:r w:rsidRPr="00EA521D">
        <w:rPr>
          <w:rStyle w:val="Textoennegrita"/>
          <w:rFonts w:ascii="Roboto" w:hAnsi="Roboto" w:cs="Segoe UI"/>
          <w:b w:val="0"/>
          <w:bCs w:val="0"/>
          <w:color w:val="0F1115"/>
          <w:sz w:val="20"/>
          <w:szCs w:val="20"/>
        </w:rPr>
        <w:t>Perfil Microbiológico:</w:t>
      </w:r>
      <w:r w:rsidR="00EA521D">
        <w:rPr>
          <w:rFonts w:ascii="Roboto" w:hAnsi="Roboto" w:cs="Segoe UI"/>
          <w:color w:val="0F1115"/>
          <w:sz w:val="20"/>
          <w:szCs w:val="20"/>
        </w:rPr>
        <w:t xml:space="preserve"> B</w:t>
      </w:r>
      <w:r w:rsidRPr="00EA521D">
        <w:rPr>
          <w:rStyle w:val="Textoennegrita"/>
          <w:rFonts w:ascii="Roboto" w:hAnsi="Roboto" w:cs="Segoe UI"/>
          <w:b w:val="0"/>
          <w:bCs w:val="0"/>
          <w:color w:val="0F1115"/>
          <w:sz w:val="20"/>
          <w:szCs w:val="20"/>
        </w:rPr>
        <w:t>acterias Gram-negativas</w:t>
      </w:r>
      <w:r w:rsidRPr="00EA521D">
        <w:rPr>
          <w:rFonts w:ascii="Roboto" w:hAnsi="Roboto" w:cs="Segoe UI"/>
          <w:color w:val="0F1115"/>
          <w:sz w:val="20"/>
          <w:szCs w:val="20"/>
        </w:rPr>
        <w:t> constituyeron la mayoría (86%). </w:t>
      </w:r>
      <w:proofErr w:type="spellStart"/>
      <w:r w:rsidRPr="00EA521D">
        <w:rPr>
          <w:rStyle w:val="nfasis"/>
          <w:rFonts w:ascii="Roboto" w:hAnsi="Roboto" w:cs="Segoe UI"/>
          <w:color w:val="0F1115"/>
          <w:sz w:val="20"/>
          <w:szCs w:val="20"/>
        </w:rPr>
        <w:t>Escherichia</w:t>
      </w:r>
      <w:proofErr w:type="spellEnd"/>
      <w:r w:rsidRPr="00EA521D">
        <w:rPr>
          <w:rStyle w:val="nfasis"/>
          <w:rFonts w:ascii="Roboto" w:hAnsi="Roboto" w:cs="Segoe UI"/>
          <w:color w:val="0F1115"/>
          <w:sz w:val="20"/>
          <w:szCs w:val="20"/>
        </w:rPr>
        <w:t xml:space="preserve"> </w:t>
      </w:r>
      <w:proofErr w:type="spellStart"/>
      <w:r w:rsidRPr="00EA521D">
        <w:rPr>
          <w:rStyle w:val="nfasis"/>
          <w:rFonts w:ascii="Roboto" w:hAnsi="Roboto" w:cs="Segoe UI"/>
          <w:color w:val="0F1115"/>
          <w:sz w:val="20"/>
          <w:szCs w:val="20"/>
        </w:rPr>
        <w:t>coli</w:t>
      </w:r>
      <w:proofErr w:type="spellEnd"/>
      <w:r w:rsidRPr="00EA521D">
        <w:rPr>
          <w:rFonts w:ascii="Roboto" w:hAnsi="Roboto" w:cs="Segoe UI"/>
          <w:color w:val="0F1115"/>
          <w:sz w:val="20"/>
          <w:szCs w:val="20"/>
        </w:rPr>
        <w:t> fue el patógeno más prevalente (70% del total de aislamientos), seguido de </w:t>
      </w:r>
      <w:proofErr w:type="spellStart"/>
      <w:r w:rsidRPr="00EA521D">
        <w:rPr>
          <w:rStyle w:val="nfasis"/>
          <w:rFonts w:ascii="Roboto" w:hAnsi="Roboto" w:cs="Segoe UI"/>
          <w:color w:val="0F1115"/>
          <w:sz w:val="20"/>
          <w:szCs w:val="20"/>
        </w:rPr>
        <w:t>Klebsiella</w:t>
      </w:r>
      <w:proofErr w:type="spellEnd"/>
      <w:r w:rsidRPr="00EA521D">
        <w:rPr>
          <w:rStyle w:val="nfasis"/>
          <w:rFonts w:ascii="Roboto" w:hAnsi="Roboto" w:cs="Segoe UI"/>
          <w:color w:val="0F1115"/>
          <w:sz w:val="20"/>
          <w:szCs w:val="20"/>
        </w:rPr>
        <w:t xml:space="preserve"> </w:t>
      </w:r>
      <w:proofErr w:type="spellStart"/>
      <w:r w:rsidRPr="00EA521D">
        <w:rPr>
          <w:rStyle w:val="nfasis"/>
          <w:rFonts w:ascii="Roboto" w:hAnsi="Roboto" w:cs="Segoe UI"/>
          <w:color w:val="0F1115"/>
          <w:sz w:val="20"/>
          <w:szCs w:val="20"/>
        </w:rPr>
        <w:t>pneumoniae</w:t>
      </w:r>
      <w:proofErr w:type="spellEnd"/>
      <w:r w:rsidRPr="00EA521D">
        <w:rPr>
          <w:rFonts w:ascii="Roboto" w:hAnsi="Roboto" w:cs="Segoe UI"/>
          <w:color w:val="0F1115"/>
          <w:sz w:val="20"/>
          <w:szCs w:val="20"/>
        </w:rPr>
        <w:t> (6.8%) y </w:t>
      </w:r>
      <w:r w:rsidRPr="00EA521D">
        <w:rPr>
          <w:rStyle w:val="nfasis"/>
          <w:rFonts w:ascii="Roboto" w:hAnsi="Roboto" w:cs="Segoe UI"/>
          <w:color w:val="0F1115"/>
          <w:sz w:val="20"/>
          <w:szCs w:val="20"/>
        </w:rPr>
        <w:t xml:space="preserve">Proteus </w:t>
      </w:r>
      <w:proofErr w:type="spellStart"/>
      <w:r w:rsidRPr="00EA521D">
        <w:rPr>
          <w:rStyle w:val="nfasis"/>
          <w:rFonts w:ascii="Roboto" w:hAnsi="Roboto" w:cs="Segoe UI"/>
          <w:color w:val="0F1115"/>
          <w:sz w:val="20"/>
          <w:szCs w:val="20"/>
        </w:rPr>
        <w:t>mirabilis</w:t>
      </w:r>
      <w:proofErr w:type="spellEnd"/>
      <w:r w:rsidRPr="00EA521D">
        <w:rPr>
          <w:rFonts w:ascii="Roboto" w:hAnsi="Roboto" w:cs="Segoe UI"/>
          <w:color w:val="0F1115"/>
          <w:sz w:val="20"/>
          <w:szCs w:val="20"/>
        </w:rPr>
        <w:t> (2.2%).</w:t>
      </w:r>
      <w:r w:rsidR="00EA521D">
        <w:rPr>
          <w:rFonts w:ascii="Roboto" w:hAnsi="Roboto" w:cs="Segoe UI"/>
          <w:color w:val="0F1115"/>
          <w:sz w:val="20"/>
          <w:szCs w:val="20"/>
        </w:rPr>
        <w:t xml:space="preserve"> </w:t>
      </w:r>
      <w:r w:rsidRPr="00EA521D">
        <w:rPr>
          <w:rStyle w:val="Textoennegrita"/>
          <w:rFonts w:ascii="Roboto" w:hAnsi="Roboto" w:cs="Segoe UI"/>
          <w:b w:val="0"/>
          <w:bCs w:val="0"/>
          <w:color w:val="0F1115"/>
          <w:sz w:val="20"/>
          <w:szCs w:val="20"/>
        </w:rPr>
        <w:t>Bacterias Gram-positivas</w:t>
      </w:r>
      <w:r w:rsidRPr="00EA521D">
        <w:rPr>
          <w:rFonts w:ascii="Roboto" w:hAnsi="Roboto" w:cs="Segoe UI"/>
          <w:color w:val="0F1115"/>
          <w:sz w:val="20"/>
          <w:szCs w:val="20"/>
        </w:rPr>
        <w:t> representaron el 10.7%, siendo </w:t>
      </w:r>
      <w:proofErr w:type="spellStart"/>
      <w:r w:rsidRPr="00EA521D">
        <w:rPr>
          <w:rStyle w:val="nfasis"/>
          <w:rFonts w:ascii="Roboto" w:hAnsi="Roboto" w:cs="Segoe UI"/>
          <w:color w:val="0F1115"/>
          <w:sz w:val="20"/>
          <w:szCs w:val="20"/>
        </w:rPr>
        <w:t>Enterococcus</w:t>
      </w:r>
      <w:proofErr w:type="spellEnd"/>
      <w:r w:rsidRPr="00EA521D">
        <w:rPr>
          <w:rStyle w:val="nfasis"/>
          <w:rFonts w:ascii="Roboto" w:hAnsi="Roboto" w:cs="Segoe UI"/>
          <w:color w:val="0F1115"/>
          <w:sz w:val="20"/>
          <w:szCs w:val="20"/>
        </w:rPr>
        <w:t xml:space="preserve"> </w:t>
      </w:r>
      <w:proofErr w:type="spellStart"/>
      <w:r w:rsidRPr="00EA521D">
        <w:rPr>
          <w:rStyle w:val="nfasis"/>
          <w:rFonts w:ascii="Roboto" w:hAnsi="Roboto" w:cs="Segoe UI"/>
          <w:color w:val="0F1115"/>
          <w:sz w:val="20"/>
          <w:szCs w:val="20"/>
        </w:rPr>
        <w:t>faecalis</w:t>
      </w:r>
      <w:proofErr w:type="spellEnd"/>
      <w:r w:rsidRPr="00EA521D">
        <w:rPr>
          <w:rFonts w:ascii="Roboto" w:hAnsi="Roboto" w:cs="Segoe UI"/>
          <w:color w:val="0F1115"/>
          <w:sz w:val="20"/>
          <w:szCs w:val="20"/>
        </w:rPr>
        <w:t> el más frecuente (5%).</w:t>
      </w:r>
      <w:r w:rsidR="00EA521D">
        <w:rPr>
          <w:rFonts w:ascii="Roboto" w:hAnsi="Roboto" w:cs="Segoe UI"/>
          <w:color w:val="0F1115"/>
          <w:sz w:val="20"/>
          <w:szCs w:val="20"/>
        </w:rPr>
        <w:t xml:space="preserve"> </w:t>
      </w:r>
      <w:r w:rsidRPr="00EA521D">
        <w:rPr>
          <w:rStyle w:val="Textoennegrita"/>
          <w:rFonts w:ascii="Roboto" w:hAnsi="Roboto" w:cs="Segoe UI"/>
          <w:b w:val="0"/>
          <w:bCs w:val="0"/>
          <w:color w:val="0F1115"/>
          <w:sz w:val="20"/>
          <w:szCs w:val="20"/>
        </w:rPr>
        <w:t>Levaduras</w:t>
      </w:r>
      <w:r w:rsidRPr="00EA521D">
        <w:rPr>
          <w:rFonts w:ascii="Roboto" w:hAnsi="Roboto" w:cs="Segoe UI"/>
          <w:color w:val="0F1115"/>
          <w:sz w:val="20"/>
          <w:szCs w:val="20"/>
        </w:rPr>
        <w:t> del género </w:t>
      </w:r>
      <w:proofErr w:type="spellStart"/>
      <w:r w:rsidRPr="00EA521D">
        <w:rPr>
          <w:rStyle w:val="nfasis"/>
          <w:rFonts w:ascii="Roboto" w:hAnsi="Roboto" w:cs="Segoe UI"/>
          <w:color w:val="0F1115"/>
          <w:sz w:val="20"/>
          <w:szCs w:val="20"/>
        </w:rPr>
        <w:t>Candida</w:t>
      </w:r>
      <w:proofErr w:type="spellEnd"/>
      <w:r w:rsidRPr="00EA521D">
        <w:rPr>
          <w:rFonts w:ascii="Roboto" w:hAnsi="Roboto" w:cs="Segoe UI"/>
          <w:color w:val="0F1115"/>
          <w:sz w:val="20"/>
          <w:szCs w:val="20"/>
        </w:rPr>
        <w:t> representaron el 3.3%.</w:t>
      </w:r>
    </w:p>
    <w:p w14:paraId="7D82D7A8" w14:textId="66143056" w:rsidR="001D3DE8" w:rsidRPr="00EA521D" w:rsidRDefault="001D3DE8" w:rsidP="00EA521D">
      <w:pPr>
        <w:pStyle w:val="ds-markdown-paragraph"/>
        <w:shd w:val="clear" w:color="auto" w:fill="FFFFFF"/>
        <w:spacing w:after="120" w:afterAutospacing="0" w:line="240" w:lineRule="atLeast"/>
        <w:jc w:val="both"/>
        <w:rPr>
          <w:rFonts w:ascii="Roboto" w:hAnsi="Roboto" w:cs="Segoe UI"/>
          <w:color w:val="0F1115"/>
          <w:sz w:val="20"/>
          <w:szCs w:val="20"/>
        </w:rPr>
      </w:pPr>
      <w:r w:rsidRPr="00EA521D">
        <w:rPr>
          <w:rStyle w:val="Textoennegrita"/>
          <w:rFonts w:ascii="Roboto" w:hAnsi="Roboto" w:cs="Segoe UI"/>
          <w:b w:val="0"/>
          <w:bCs w:val="0"/>
          <w:color w:val="0F1115"/>
          <w:sz w:val="20"/>
          <w:szCs w:val="20"/>
        </w:rPr>
        <w:t>Perfil de Susceptibilidad Antimicrobiana:</w:t>
      </w:r>
      <w:r w:rsidR="00EA521D">
        <w:rPr>
          <w:rStyle w:val="Textoennegrita"/>
          <w:rFonts w:ascii="Roboto" w:hAnsi="Roboto" w:cs="Segoe UI"/>
          <w:b w:val="0"/>
          <w:bCs w:val="0"/>
          <w:color w:val="0F1115"/>
          <w:sz w:val="20"/>
          <w:szCs w:val="20"/>
        </w:rPr>
        <w:t xml:space="preserve"> </w:t>
      </w:r>
      <w:r w:rsidRPr="00EA521D">
        <w:rPr>
          <w:rStyle w:val="Textoennegrita"/>
          <w:rFonts w:ascii="Roboto" w:hAnsi="Roboto" w:cs="Segoe UI"/>
          <w:b w:val="0"/>
          <w:bCs w:val="0"/>
          <w:color w:val="0F1115"/>
          <w:sz w:val="20"/>
          <w:szCs w:val="20"/>
        </w:rPr>
        <w:t>Alta eficacia:</w:t>
      </w:r>
      <w:r w:rsidRPr="00EA521D">
        <w:rPr>
          <w:rFonts w:ascii="Roboto" w:hAnsi="Roboto" w:cs="Segoe UI"/>
          <w:color w:val="0F1115"/>
          <w:sz w:val="20"/>
          <w:szCs w:val="20"/>
        </w:rPr>
        <w:t> Los carbapenémicos (</w:t>
      </w:r>
      <w:proofErr w:type="spellStart"/>
      <w:r w:rsidRPr="00EA521D">
        <w:rPr>
          <w:rFonts w:ascii="Roboto" w:hAnsi="Roboto" w:cs="Segoe UI"/>
          <w:color w:val="0F1115"/>
          <w:sz w:val="20"/>
          <w:szCs w:val="20"/>
        </w:rPr>
        <w:t>ertapenem</w:t>
      </w:r>
      <w:proofErr w:type="spellEnd"/>
      <w:r w:rsidRPr="00EA521D">
        <w:rPr>
          <w:rFonts w:ascii="Roboto" w:hAnsi="Roboto" w:cs="Segoe UI"/>
          <w:color w:val="0F1115"/>
          <w:sz w:val="20"/>
          <w:szCs w:val="20"/>
        </w:rPr>
        <w:t xml:space="preserve"> 98.6%, meropenem 98.1%) y </w:t>
      </w:r>
      <w:proofErr w:type="spellStart"/>
      <w:r w:rsidRPr="00EA521D">
        <w:rPr>
          <w:rFonts w:ascii="Roboto" w:hAnsi="Roboto" w:cs="Segoe UI"/>
          <w:color w:val="0F1115"/>
          <w:sz w:val="20"/>
          <w:szCs w:val="20"/>
        </w:rPr>
        <w:t>linezolid</w:t>
      </w:r>
      <w:proofErr w:type="spellEnd"/>
      <w:r w:rsidRPr="00EA521D">
        <w:rPr>
          <w:rFonts w:ascii="Roboto" w:hAnsi="Roboto" w:cs="Segoe UI"/>
          <w:color w:val="0F1115"/>
          <w:sz w:val="20"/>
          <w:szCs w:val="20"/>
        </w:rPr>
        <w:t xml:space="preserve"> (99.1%) mostraron las tasas de susceptibilidad más altas.</w:t>
      </w:r>
      <w:r w:rsidR="00EA521D">
        <w:rPr>
          <w:rFonts w:ascii="Roboto" w:hAnsi="Roboto" w:cs="Segoe UI"/>
          <w:color w:val="0F1115"/>
          <w:sz w:val="20"/>
          <w:szCs w:val="20"/>
        </w:rPr>
        <w:t xml:space="preserve"> </w:t>
      </w:r>
      <w:r w:rsidRPr="00EA521D">
        <w:rPr>
          <w:rStyle w:val="Textoennegrita"/>
          <w:rFonts w:ascii="Roboto" w:hAnsi="Roboto" w:cs="Segoe UI"/>
          <w:b w:val="0"/>
          <w:bCs w:val="0"/>
          <w:color w:val="0F1115"/>
          <w:sz w:val="20"/>
          <w:szCs w:val="20"/>
        </w:rPr>
        <w:t>Alta resistencia:</w:t>
      </w:r>
      <w:r w:rsidRPr="00EA521D">
        <w:rPr>
          <w:rFonts w:ascii="Roboto" w:hAnsi="Roboto" w:cs="Segoe UI"/>
          <w:color w:val="0F1115"/>
          <w:sz w:val="20"/>
          <w:szCs w:val="20"/>
        </w:rPr>
        <w:t> Antibióticos de primera línea presentaron tasas de resistencia alarmantes: ciprofloxacino (48.8%), cefuroxima (48.2%) y ampicilina (46.8%). La nitrofurantoína mostró una susceptibilidad moderada (66.1%).</w:t>
      </w:r>
    </w:p>
    <w:p w14:paraId="1F98447D" w14:textId="77777777" w:rsidR="001D3DE8" w:rsidRPr="00EA521D" w:rsidRDefault="001D3DE8" w:rsidP="00EA521D">
      <w:pPr>
        <w:pStyle w:val="ds-markdown-paragraph"/>
        <w:shd w:val="clear" w:color="auto" w:fill="FFFFFF"/>
        <w:spacing w:after="0" w:afterAutospacing="0" w:line="240" w:lineRule="atLeast"/>
        <w:jc w:val="both"/>
        <w:rPr>
          <w:rFonts w:ascii="Roboto" w:hAnsi="Roboto" w:cs="Segoe UI"/>
          <w:color w:val="0F1115"/>
          <w:sz w:val="20"/>
          <w:szCs w:val="20"/>
        </w:rPr>
      </w:pPr>
      <w:r w:rsidRPr="00EA521D">
        <w:rPr>
          <w:rFonts w:ascii="Roboto" w:hAnsi="Roboto" w:cs="Segoe UI"/>
          <w:color w:val="0F1115"/>
          <w:sz w:val="20"/>
          <w:szCs w:val="20"/>
        </w:rPr>
        <w:t xml:space="preserve">Se observó una disparidad dentro de la clase de fluoroquinolonas: levofloxacino mantuvo alta eficacia (90%), a diferencia de ciprofloxacino y </w:t>
      </w:r>
      <w:proofErr w:type="spellStart"/>
      <w:r w:rsidRPr="00EA521D">
        <w:rPr>
          <w:rFonts w:ascii="Roboto" w:hAnsi="Roboto" w:cs="Segoe UI"/>
          <w:color w:val="0F1115"/>
          <w:sz w:val="20"/>
          <w:szCs w:val="20"/>
        </w:rPr>
        <w:t>norfloxacino</w:t>
      </w:r>
      <w:proofErr w:type="spellEnd"/>
      <w:r w:rsidRPr="00EA521D">
        <w:rPr>
          <w:rFonts w:ascii="Roboto" w:hAnsi="Roboto" w:cs="Segoe UI"/>
          <w:color w:val="0F1115"/>
          <w:sz w:val="20"/>
          <w:szCs w:val="20"/>
        </w:rPr>
        <w:t>.</w:t>
      </w:r>
    </w:p>
    <w:p w14:paraId="29D2AA9A" w14:textId="19063EBF" w:rsidR="001D3DE8" w:rsidRPr="00EA521D" w:rsidRDefault="001D3DE8" w:rsidP="00EA521D">
      <w:pPr>
        <w:pStyle w:val="ds-markdown-paragraph"/>
        <w:shd w:val="clear" w:color="auto" w:fill="FFFFFF"/>
        <w:spacing w:after="120" w:afterAutospacing="0" w:line="240" w:lineRule="atLeast"/>
        <w:jc w:val="both"/>
        <w:rPr>
          <w:rFonts w:ascii="Roboto" w:hAnsi="Roboto" w:cs="Segoe UI"/>
          <w:color w:val="0F1115"/>
          <w:sz w:val="20"/>
          <w:szCs w:val="20"/>
        </w:rPr>
      </w:pPr>
      <w:r w:rsidRPr="00EA521D">
        <w:rPr>
          <w:rStyle w:val="Textoennegrita"/>
          <w:rFonts w:ascii="Roboto" w:hAnsi="Roboto" w:cs="Segoe UI"/>
          <w:b w:val="0"/>
          <w:bCs w:val="0"/>
          <w:color w:val="0F1115"/>
          <w:sz w:val="20"/>
          <w:szCs w:val="20"/>
        </w:rPr>
        <w:t>Resistencia en Patógenos Clave:</w:t>
      </w:r>
      <w:r w:rsidR="00EA521D">
        <w:rPr>
          <w:rStyle w:val="Textoennegrita"/>
          <w:rFonts w:ascii="Roboto" w:hAnsi="Roboto" w:cs="Segoe UI"/>
          <w:b w:val="0"/>
          <w:bCs w:val="0"/>
          <w:color w:val="0F1115"/>
          <w:sz w:val="20"/>
          <w:szCs w:val="20"/>
        </w:rPr>
        <w:t xml:space="preserve"> </w:t>
      </w:r>
      <w:r w:rsidRPr="00EA521D">
        <w:rPr>
          <w:rStyle w:val="Textoennegrita"/>
          <w:rFonts w:ascii="Roboto" w:hAnsi="Roboto" w:cs="Segoe UI"/>
          <w:b w:val="0"/>
          <w:bCs w:val="0"/>
          <w:color w:val="0F1115"/>
          <w:sz w:val="20"/>
          <w:szCs w:val="20"/>
        </w:rPr>
        <w:t xml:space="preserve">E. </w:t>
      </w:r>
      <w:proofErr w:type="spellStart"/>
      <w:r w:rsidRPr="00EA521D">
        <w:rPr>
          <w:rStyle w:val="Textoennegrita"/>
          <w:rFonts w:ascii="Roboto" w:hAnsi="Roboto" w:cs="Segoe UI"/>
          <w:b w:val="0"/>
          <w:bCs w:val="0"/>
          <w:color w:val="0F1115"/>
          <w:sz w:val="20"/>
          <w:szCs w:val="20"/>
        </w:rPr>
        <w:t>coli</w:t>
      </w:r>
      <w:proofErr w:type="spellEnd"/>
      <w:r w:rsidRPr="00EA521D">
        <w:rPr>
          <w:rStyle w:val="Textoennegrita"/>
          <w:rFonts w:ascii="Roboto" w:hAnsi="Roboto" w:cs="Segoe UI"/>
          <w:b w:val="0"/>
          <w:bCs w:val="0"/>
          <w:color w:val="0F1115"/>
          <w:sz w:val="20"/>
          <w:szCs w:val="20"/>
        </w:rPr>
        <w:t>:</w:t>
      </w:r>
      <w:r w:rsidRPr="00EA521D">
        <w:rPr>
          <w:rFonts w:ascii="Roboto" w:hAnsi="Roboto" w:cs="Segoe UI"/>
          <w:color w:val="0F1115"/>
          <w:sz w:val="20"/>
          <w:szCs w:val="20"/>
        </w:rPr>
        <w:t xml:space="preserve"> Alta resistencia a ciprofloxacino (68.6%), ampicilina (60.4%), cefuroxima (59.5%) y </w:t>
      </w:r>
      <w:proofErr w:type="spellStart"/>
      <w:r w:rsidRPr="00EA521D">
        <w:rPr>
          <w:rFonts w:ascii="Roboto" w:hAnsi="Roboto" w:cs="Segoe UI"/>
          <w:color w:val="0F1115"/>
          <w:sz w:val="20"/>
          <w:szCs w:val="20"/>
        </w:rPr>
        <w:t>trimetoprim</w:t>
      </w:r>
      <w:proofErr w:type="spellEnd"/>
      <w:r w:rsidRPr="00EA521D">
        <w:rPr>
          <w:rFonts w:ascii="Roboto" w:hAnsi="Roboto" w:cs="Segoe UI"/>
          <w:color w:val="0F1115"/>
          <w:sz w:val="20"/>
          <w:szCs w:val="20"/>
        </w:rPr>
        <w:t>/sulfametoxazol (TMP/SMX) (53%). Baja resistencia a meropenem (0.8%).</w:t>
      </w:r>
      <w:r w:rsidR="00EA521D">
        <w:rPr>
          <w:rFonts w:ascii="Roboto" w:hAnsi="Roboto" w:cs="Segoe UI"/>
          <w:color w:val="0F1115"/>
          <w:sz w:val="20"/>
          <w:szCs w:val="20"/>
        </w:rPr>
        <w:t xml:space="preserve">                       </w:t>
      </w:r>
      <w:r w:rsidRPr="00EA521D">
        <w:rPr>
          <w:rStyle w:val="Textoennegrita"/>
          <w:rFonts w:ascii="Roboto" w:hAnsi="Roboto" w:cs="Segoe UI"/>
          <w:b w:val="0"/>
          <w:bCs w:val="0"/>
          <w:color w:val="0F1115"/>
          <w:sz w:val="20"/>
          <w:szCs w:val="20"/>
        </w:rPr>
        <w:t xml:space="preserve">K. </w:t>
      </w:r>
      <w:proofErr w:type="spellStart"/>
      <w:r w:rsidRPr="00EA521D">
        <w:rPr>
          <w:rStyle w:val="Textoennegrita"/>
          <w:rFonts w:ascii="Roboto" w:hAnsi="Roboto" w:cs="Segoe UI"/>
          <w:b w:val="0"/>
          <w:bCs w:val="0"/>
          <w:color w:val="0F1115"/>
          <w:sz w:val="20"/>
          <w:szCs w:val="20"/>
        </w:rPr>
        <w:t>pneumoniae</w:t>
      </w:r>
      <w:proofErr w:type="spellEnd"/>
      <w:r w:rsidRPr="00EA521D">
        <w:rPr>
          <w:rStyle w:val="Textoennegrita"/>
          <w:rFonts w:ascii="Roboto" w:hAnsi="Roboto" w:cs="Segoe UI"/>
          <w:b w:val="0"/>
          <w:bCs w:val="0"/>
          <w:color w:val="0F1115"/>
          <w:sz w:val="20"/>
          <w:szCs w:val="20"/>
        </w:rPr>
        <w:t>:</w:t>
      </w:r>
      <w:r w:rsidRPr="00EA521D">
        <w:rPr>
          <w:rFonts w:ascii="Roboto" w:hAnsi="Roboto" w:cs="Segoe UI"/>
          <w:color w:val="0F1115"/>
          <w:sz w:val="20"/>
          <w:szCs w:val="20"/>
        </w:rPr>
        <w:t> Alta resistencia a ampicilina (66.9%), amikacina (57.5%) y ciprofloxacino (52.4%). Sensibilidad preservada a meropenem (0% resistencia).</w:t>
      </w:r>
      <w:r w:rsidR="00EA521D">
        <w:rPr>
          <w:rFonts w:ascii="Roboto" w:hAnsi="Roboto" w:cs="Segoe UI"/>
          <w:color w:val="0F1115"/>
          <w:sz w:val="20"/>
          <w:szCs w:val="20"/>
        </w:rPr>
        <w:t xml:space="preserve"> </w:t>
      </w:r>
      <w:r w:rsidRPr="00EA521D">
        <w:rPr>
          <w:rStyle w:val="Textoennegrita"/>
          <w:rFonts w:ascii="Roboto" w:hAnsi="Roboto" w:cs="Segoe UI"/>
          <w:b w:val="0"/>
          <w:bCs w:val="0"/>
          <w:color w:val="0F1115"/>
          <w:sz w:val="20"/>
          <w:szCs w:val="20"/>
        </w:rPr>
        <w:t xml:space="preserve">P. </w:t>
      </w:r>
      <w:proofErr w:type="spellStart"/>
      <w:r w:rsidRPr="00EA521D">
        <w:rPr>
          <w:rStyle w:val="Textoennegrita"/>
          <w:rFonts w:ascii="Roboto" w:hAnsi="Roboto" w:cs="Segoe UI"/>
          <w:b w:val="0"/>
          <w:bCs w:val="0"/>
          <w:color w:val="0F1115"/>
          <w:sz w:val="20"/>
          <w:szCs w:val="20"/>
        </w:rPr>
        <w:t>mirabilis</w:t>
      </w:r>
      <w:proofErr w:type="spellEnd"/>
      <w:r w:rsidRPr="00EA521D">
        <w:rPr>
          <w:rStyle w:val="Textoennegrita"/>
          <w:rFonts w:ascii="Roboto" w:hAnsi="Roboto" w:cs="Segoe UI"/>
          <w:b w:val="0"/>
          <w:bCs w:val="0"/>
          <w:color w:val="0F1115"/>
          <w:sz w:val="20"/>
          <w:szCs w:val="20"/>
        </w:rPr>
        <w:t>:</w:t>
      </w:r>
      <w:r w:rsidRPr="00EA521D">
        <w:rPr>
          <w:rFonts w:ascii="Roboto" w:hAnsi="Roboto" w:cs="Segoe UI"/>
          <w:color w:val="0F1115"/>
          <w:sz w:val="20"/>
          <w:szCs w:val="20"/>
        </w:rPr>
        <w:t> Alta resistencia a TMP/SMX (64.3%), nitrofurantoína (50.8%) y ciprofloxacino (45.9%).</w:t>
      </w:r>
      <w:r w:rsidR="00EA521D">
        <w:rPr>
          <w:rFonts w:ascii="Roboto" w:hAnsi="Roboto" w:cs="Segoe UI"/>
          <w:color w:val="0F1115"/>
          <w:sz w:val="20"/>
          <w:szCs w:val="20"/>
        </w:rPr>
        <w:t xml:space="preserve">                </w:t>
      </w:r>
      <w:r w:rsidRPr="00EA521D">
        <w:rPr>
          <w:rStyle w:val="Textoennegrita"/>
          <w:rFonts w:ascii="Roboto" w:hAnsi="Roboto" w:cs="Segoe UI"/>
          <w:b w:val="0"/>
          <w:bCs w:val="0"/>
          <w:color w:val="0F1115"/>
          <w:sz w:val="20"/>
          <w:szCs w:val="20"/>
        </w:rPr>
        <w:t xml:space="preserve">E. </w:t>
      </w:r>
      <w:proofErr w:type="spellStart"/>
      <w:r w:rsidRPr="00EA521D">
        <w:rPr>
          <w:rStyle w:val="Textoennegrita"/>
          <w:rFonts w:ascii="Roboto" w:hAnsi="Roboto" w:cs="Segoe UI"/>
          <w:b w:val="0"/>
          <w:bCs w:val="0"/>
          <w:color w:val="0F1115"/>
          <w:sz w:val="20"/>
          <w:szCs w:val="20"/>
        </w:rPr>
        <w:t>faecalis</w:t>
      </w:r>
      <w:proofErr w:type="spellEnd"/>
      <w:r w:rsidRPr="00EA521D">
        <w:rPr>
          <w:rStyle w:val="Textoennegrita"/>
          <w:rFonts w:ascii="Roboto" w:hAnsi="Roboto" w:cs="Segoe UI"/>
          <w:b w:val="0"/>
          <w:bCs w:val="0"/>
          <w:color w:val="0F1115"/>
          <w:sz w:val="20"/>
          <w:szCs w:val="20"/>
        </w:rPr>
        <w:t>:</w:t>
      </w:r>
      <w:r w:rsidRPr="00EA521D">
        <w:rPr>
          <w:rFonts w:ascii="Roboto" w:hAnsi="Roboto" w:cs="Segoe UI"/>
          <w:color w:val="0F1115"/>
          <w:sz w:val="20"/>
          <w:szCs w:val="20"/>
        </w:rPr>
        <w:t> Alta susceptibilidad a ampicilina (98.5%) y nitrofurantoína (98.5%).</w:t>
      </w:r>
    </w:p>
    <w:p w14:paraId="7BBD9853" w14:textId="20D83323" w:rsidR="001D3DE8" w:rsidRPr="00EA521D" w:rsidRDefault="001D3DE8" w:rsidP="00EA521D">
      <w:pPr>
        <w:pStyle w:val="ds-markdown-paragraph"/>
        <w:shd w:val="clear" w:color="auto" w:fill="FFFFFF"/>
        <w:spacing w:after="120" w:afterAutospacing="0" w:line="240" w:lineRule="atLeast"/>
        <w:jc w:val="both"/>
        <w:rPr>
          <w:rFonts w:ascii="Roboto" w:hAnsi="Roboto" w:cs="Segoe UI"/>
          <w:color w:val="0F1115"/>
          <w:sz w:val="20"/>
          <w:szCs w:val="20"/>
        </w:rPr>
      </w:pPr>
      <w:r w:rsidRPr="00EA521D">
        <w:rPr>
          <w:rStyle w:val="Textoennegrita"/>
          <w:rFonts w:ascii="Roboto" w:hAnsi="Roboto" w:cs="Segoe UI"/>
          <w:b w:val="0"/>
          <w:bCs w:val="0"/>
          <w:color w:val="0F1115"/>
          <w:sz w:val="20"/>
          <w:szCs w:val="20"/>
        </w:rPr>
        <w:t>Consumo Regional de Antibióticos:</w:t>
      </w:r>
      <w:r w:rsidR="00EA521D">
        <w:rPr>
          <w:rStyle w:val="Textoennegrita"/>
          <w:rFonts w:ascii="Roboto" w:hAnsi="Roboto" w:cs="Segoe UI"/>
          <w:b w:val="0"/>
          <w:bCs w:val="0"/>
          <w:color w:val="0F1115"/>
          <w:sz w:val="20"/>
          <w:szCs w:val="20"/>
        </w:rPr>
        <w:t xml:space="preserve"> </w:t>
      </w:r>
      <w:r w:rsidRPr="00EA521D">
        <w:rPr>
          <w:rFonts w:ascii="Roboto" w:hAnsi="Roboto" w:cs="Segoe UI"/>
          <w:color w:val="0F1115"/>
          <w:sz w:val="20"/>
          <w:szCs w:val="20"/>
        </w:rPr>
        <w:t>Se adquirieron 2,447,044 unidades de antibióticos. El ciprofloxacino representó el 50% del total (1,223,522 unidades), seguido de la amoxicilina (22.2%). Estos dos antibióticos, junto con TMP/SMX (8%), constituyeron el 80.2% de todas las adquisiciones.</w:t>
      </w:r>
    </w:p>
    <w:p w14:paraId="4CC4B231" w14:textId="5E3DC2F4" w:rsidR="00EA521D" w:rsidRDefault="00EA521D" w:rsidP="00EA521D">
      <w:pPr>
        <w:pStyle w:val="ds-markdown-paragraph"/>
        <w:shd w:val="clear" w:color="auto" w:fill="FFFFFF"/>
        <w:spacing w:before="240" w:beforeAutospacing="0" w:after="240" w:afterAutospacing="0"/>
        <w:jc w:val="both"/>
        <w:rPr>
          <w:rFonts w:ascii="Roboto" w:hAnsi="Roboto" w:cs="Segoe UI"/>
          <w:color w:val="0F1115"/>
          <w:sz w:val="20"/>
          <w:szCs w:val="20"/>
        </w:rPr>
      </w:pPr>
      <w:r w:rsidRPr="00EA521D">
        <w:rPr>
          <w:rStyle w:val="Textoennegrita"/>
          <w:rFonts w:ascii="Roboto" w:hAnsi="Roboto" w:cs="Segoe UI"/>
          <w:color w:val="0F1115"/>
          <w:sz w:val="20"/>
          <w:szCs w:val="20"/>
        </w:rPr>
        <w:t>Discusión y Conclusiones:</w:t>
      </w:r>
      <w:r w:rsidRPr="00EA521D">
        <w:rPr>
          <w:rFonts w:ascii="Roboto" w:hAnsi="Roboto" w:cs="Segoe UI"/>
          <w:color w:val="0F1115"/>
          <w:sz w:val="20"/>
          <w:szCs w:val="20"/>
        </w:rPr>
        <w:br/>
        <w:t xml:space="preserve">Este estudio revela un panorama crítico de RAM entre </w:t>
      </w:r>
      <w:proofErr w:type="spellStart"/>
      <w:r w:rsidRPr="00EA521D">
        <w:rPr>
          <w:rFonts w:ascii="Roboto" w:hAnsi="Roboto" w:cs="Segoe UI"/>
          <w:color w:val="0F1115"/>
          <w:sz w:val="20"/>
          <w:szCs w:val="20"/>
        </w:rPr>
        <w:t>uropatógenos</w:t>
      </w:r>
      <w:proofErr w:type="spellEnd"/>
      <w:r w:rsidRPr="00EA521D">
        <w:rPr>
          <w:rFonts w:ascii="Roboto" w:hAnsi="Roboto" w:cs="Segoe UI"/>
          <w:color w:val="0F1115"/>
          <w:sz w:val="20"/>
          <w:szCs w:val="20"/>
        </w:rPr>
        <w:t xml:space="preserve"> en la región Puebla-Tlaxcala. Las tasas de resistencia a antibióticos orales de primera línea (fluoroquinolonas, cefalosporinas, TMP/SMX) superan consistentemente el umbral del 20%, desaconsejando su uso empírico. Esta situación contrasta con la eficacia preservada de los carbapenémicos, que deben </w:t>
      </w:r>
      <w:r w:rsidRPr="00EA521D">
        <w:rPr>
          <w:rFonts w:ascii="Roboto" w:hAnsi="Roboto" w:cs="Segoe UI"/>
          <w:color w:val="0F1115"/>
          <w:sz w:val="20"/>
          <w:szCs w:val="20"/>
        </w:rPr>
        <w:lastRenderedPageBreak/>
        <w:t>reservarse como última opción.</w:t>
      </w:r>
      <w:r>
        <w:rPr>
          <w:rFonts w:ascii="Roboto" w:hAnsi="Roboto" w:cs="Segoe UI"/>
          <w:color w:val="0F1115"/>
          <w:sz w:val="20"/>
          <w:szCs w:val="20"/>
        </w:rPr>
        <w:t xml:space="preserve"> </w:t>
      </w:r>
      <w:r w:rsidRPr="00EA521D">
        <w:rPr>
          <w:rFonts w:ascii="Roboto" w:hAnsi="Roboto" w:cs="Segoe UI"/>
          <w:color w:val="0F1115"/>
          <w:sz w:val="20"/>
          <w:szCs w:val="20"/>
        </w:rPr>
        <w:t>El hallazgo más significativo es la correlación directa entre el patrón de consumo y la resistencia. El ciprofloxacino, que constituyó la mitad de todas las adquisiciones de antibióticos, presenta una resistencia del 48.8%, sugiriendo que su uso masivo es un motor clave de selección de resistencia en la comunidad.</w:t>
      </w:r>
      <w:r>
        <w:rPr>
          <w:rFonts w:ascii="Roboto" w:hAnsi="Roboto" w:cs="Segoe UI"/>
          <w:color w:val="0F1115"/>
          <w:sz w:val="20"/>
          <w:szCs w:val="20"/>
        </w:rPr>
        <w:t xml:space="preserve"> </w:t>
      </w:r>
      <w:r w:rsidRPr="00EA521D">
        <w:rPr>
          <w:rFonts w:ascii="Roboto" w:hAnsi="Roboto" w:cs="Segoe UI"/>
          <w:color w:val="0F1115"/>
          <w:sz w:val="20"/>
          <w:szCs w:val="20"/>
        </w:rPr>
        <w:t>Los resultados son consistentes con reportes nacionales y reflejan una tendencia global, pero destacan la urgencia de acciones locales. La marcada discrepancia entre las guías de tratamiento (que recomiendan nitrofurantoína o fosfomicina para ITU no complicadas) y la práctica clínica real (dominada por ciprofloxacino y amoxicilina) subraya una brecha crítica entre la evidencia y la práctica.</w:t>
      </w:r>
    </w:p>
    <w:p w14:paraId="70173743" w14:textId="5DFA74BC" w:rsidR="009C6B02" w:rsidRPr="00C43D1A" w:rsidRDefault="009C6B02" w:rsidP="009C6B02">
      <w:pPr>
        <w:pStyle w:val="NormalWeb"/>
        <w:spacing w:before="0" w:beforeAutospacing="0" w:after="0" w:afterAutospacing="0"/>
        <w:jc w:val="both"/>
        <w:rPr>
          <w:rFonts w:ascii="Roboto" w:hAnsi="Roboto"/>
          <w:color w:val="000000"/>
          <w:sz w:val="20"/>
          <w:szCs w:val="20"/>
          <w:lang w:val="en-US"/>
        </w:rPr>
      </w:pPr>
      <w:r w:rsidRPr="00C43D1A">
        <w:rPr>
          <w:rFonts w:ascii="Roboto" w:hAnsi="Roboto" w:cs="Arial"/>
          <w:color w:val="0F1115"/>
          <w:sz w:val="20"/>
          <w:szCs w:val="20"/>
          <w:shd w:val="clear" w:color="auto" w:fill="FFFFFF"/>
        </w:rPr>
        <w:t>Tabl</w:t>
      </w:r>
      <w:r w:rsidR="00C43D1A" w:rsidRPr="00C43D1A">
        <w:rPr>
          <w:rFonts w:ascii="Roboto" w:hAnsi="Roboto" w:cs="Arial"/>
          <w:color w:val="0F1115"/>
          <w:sz w:val="20"/>
          <w:szCs w:val="20"/>
          <w:shd w:val="clear" w:color="auto" w:fill="FFFFFF"/>
        </w:rPr>
        <w:t xml:space="preserve">a </w:t>
      </w:r>
      <w:proofErr w:type="gramStart"/>
      <w:r w:rsidR="00C43D1A" w:rsidRPr="00C43D1A">
        <w:rPr>
          <w:rFonts w:ascii="Roboto" w:hAnsi="Roboto" w:cs="Arial"/>
          <w:color w:val="0F1115"/>
          <w:sz w:val="20"/>
          <w:szCs w:val="20"/>
          <w:shd w:val="clear" w:color="auto" w:fill="FFFFFF"/>
        </w:rPr>
        <w:t>1</w:t>
      </w:r>
      <w:r w:rsidRPr="00C43D1A">
        <w:rPr>
          <w:rFonts w:ascii="Roboto" w:hAnsi="Roboto" w:cs="Arial"/>
          <w:color w:val="0F1115"/>
          <w:sz w:val="20"/>
          <w:szCs w:val="20"/>
          <w:shd w:val="clear" w:color="auto" w:fill="FFFFFF"/>
        </w:rPr>
        <w:t>.</w:t>
      </w:r>
      <w:r w:rsidR="00C43D1A" w:rsidRPr="00C43D1A">
        <w:rPr>
          <w:rFonts w:ascii="Roboto" w:hAnsi="Roboto" w:cs="Arial"/>
          <w:color w:val="0F1115"/>
          <w:sz w:val="20"/>
          <w:szCs w:val="20"/>
          <w:shd w:val="clear" w:color="auto" w:fill="FFFFFF"/>
        </w:rPr>
        <w:t>Perfil</w:t>
      </w:r>
      <w:proofErr w:type="gramEnd"/>
      <w:r w:rsidR="00C43D1A" w:rsidRPr="00C43D1A">
        <w:rPr>
          <w:rFonts w:ascii="Roboto" w:hAnsi="Roboto" w:cs="Arial"/>
          <w:color w:val="0F1115"/>
          <w:sz w:val="20"/>
          <w:szCs w:val="20"/>
          <w:shd w:val="clear" w:color="auto" w:fill="FFFFFF"/>
        </w:rPr>
        <w:t xml:space="preserve"> de susceptibilidad antimicrobiana i</w:t>
      </w:r>
      <w:r w:rsidRPr="00C43D1A">
        <w:rPr>
          <w:rFonts w:ascii="Roboto" w:hAnsi="Roboto" w:cs="Arial"/>
          <w:color w:val="0F1115"/>
          <w:sz w:val="20"/>
          <w:szCs w:val="20"/>
          <w:shd w:val="clear" w:color="auto" w:fill="FFFFFF"/>
        </w:rPr>
        <w:t>n vitro</w:t>
      </w:r>
      <w:r w:rsidR="00C43D1A" w:rsidRPr="00C43D1A">
        <w:rPr>
          <w:rFonts w:ascii="Roboto" w:hAnsi="Roboto" w:cs="Arial"/>
          <w:color w:val="0F1115"/>
          <w:sz w:val="20"/>
          <w:szCs w:val="20"/>
          <w:shd w:val="clear" w:color="auto" w:fill="FFFFFF"/>
        </w:rPr>
        <w:t xml:space="preserve"> de todo</w:t>
      </w:r>
      <w:r w:rsidR="00C43D1A">
        <w:rPr>
          <w:rFonts w:ascii="Roboto" w:hAnsi="Roboto" w:cs="Arial"/>
          <w:color w:val="0F1115"/>
          <w:sz w:val="20"/>
          <w:szCs w:val="20"/>
          <w:shd w:val="clear" w:color="auto" w:fill="FFFFFF"/>
        </w:rPr>
        <w:t xml:space="preserve">s los </w:t>
      </w:r>
      <w:proofErr w:type="spellStart"/>
      <w:r w:rsidR="00C43D1A">
        <w:rPr>
          <w:rFonts w:ascii="Roboto" w:hAnsi="Roboto" w:cs="Arial"/>
          <w:color w:val="0F1115"/>
          <w:sz w:val="20"/>
          <w:szCs w:val="20"/>
          <w:shd w:val="clear" w:color="auto" w:fill="FFFFFF"/>
        </w:rPr>
        <w:t>uropatógenos</w:t>
      </w:r>
      <w:proofErr w:type="spellEnd"/>
      <w:r w:rsidR="00C43D1A">
        <w:rPr>
          <w:rFonts w:ascii="Roboto" w:hAnsi="Roboto" w:cs="Arial"/>
          <w:color w:val="0F1115"/>
          <w:sz w:val="20"/>
          <w:szCs w:val="20"/>
          <w:shd w:val="clear" w:color="auto" w:fill="FFFFFF"/>
        </w:rPr>
        <w:t xml:space="preserve"> aislado. </w:t>
      </w:r>
      <w:r w:rsidR="00C43D1A" w:rsidRPr="00C43D1A">
        <w:rPr>
          <w:rFonts w:ascii="Roboto" w:hAnsi="Roboto" w:cs="Arial"/>
          <w:color w:val="0F1115"/>
          <w:sz w:val="20"/>
          <w:szCs w:val="20"/>
          <w:shd w:val="clear" w:color="auto" w:fill="FFFFFF"/>
          <w:lang w:val="en-US"/>
        </w:rPr>
        <w:t>Lo</w:t>
      </w:r>
      <w:r w:rsidR="00C43D1A">
        <w:rPr>
          <w:rFonts w:ascii="Roboto" w:hAnsi="Roboto" w:cs="Arial"/>
          <w:color w:val="0F1115"/>
          <w:sz w:val="20"/>
          <w:szCs w:val="20"/>
          <w:shd w:val="clear" w:color="auto" w:fill="FFFFFF"/>
          <w:lang w:val="en-US"/>
        </w:rPr>
        <w:t xml:space="preserve">s </w:t>
      </w:r>
      <w:proofErr w:type="spellStart"/>
      <w:r w:rsidR="00C43D1A">
        <w:rPr>
          <w:rFonts w:ascii="Roboto" w:hAnsi="Roboto" w:cs="Arial"/>
          <w:color w:val="0F1115"/>
          <w:sz w:val="20"/>
          <w:szCs w:val="20"/>
          <w:shd w:val="clear" w:color="auto" w:fill="FFFFFF"/>
          <w:lang w:val="en-US"/>
        </w:rPr>
        <w:t>datos</w:t>
      </w:r>
      <w:proofErr w:type="spellEnd"/>
      <w:r w:rsidR="00C43D1A">
        <w:rPr>
          <w:rFonts w:ascii="Roboto" w:hAnsi="Roboto" w:cs="Arial"/>
          <w:color w:val="0F1115"/>
          <w:sz w:val="20"/>
          <w:szCs w:val="20"/>
          <w:shd w:val="clear" w:color="auto" w:fill="FFFFFF"/>
          <w:lang w:val="en-US"/>
        </w:rPr>
        <w:t xml:space="preserve"> se </w:t>
      </w:r>
      <w:proofErr w:type="spellStart"/>
      <w:r w:rsidR="00C43D1A">
        <w:rPr>
          <w:rFonts w:ascii="Roboto" w:hAnsi="Roboto" w:cs="Arial"/>
          <w:color w:val="0F1115"/>
          <w:sz w:val="20"/>
          <w:szCs w:val="20"/>
          <w:shd w:val="clear" w:color="auto" w:fill="FFFFFF"/>
          <w:lang w:val="en-US"/>
        </w:rPr>
        <w:t>presentan</w:t>
      </w:r>
      <w:proofErr w:type="spellEnd"/>
      <w:r w:rsidR="00C43D1A">
        <w:rPr>
          <w:rFonts w:ascii="Roboto" w:hAnsi="Roboto" w:cs="Arial"/>
          <w:color w:val="0F1115"/>
          <w:sz w:val="20"/>
          <w:szCs w:val="20"/>
          <w:shd w:val="clear" w:color="auto" w:fill="FFFFFF"/>
          <w:lang w:val="en-US"/>
        </w:rPr>
        <w:t xml:space="preserve"> </w:t>
      </w:r>
      <w:proofErr w:type="spellStart"/>
      <w:r w:rsidR="00C43D1A">
        <w:rPr>
          <w:rFonts w:ascii="Roboto" w:hAnsi="Roboto" w:cs="Arial"/>
          <w:color w:val="0F1115"/>
          <w:sz w:val="20"/>
          <w:szCs w:val="20"/>
          <w:shd w:val="clear" w:color="auto" w:fill="FFFFFF"/>
          <w:lang w:val="en-US"/>
        </w:rPr>
        <w:t>como</w:t>
      </w:r>
      <w:proofErr w:type="spellEnd"/>
      <w:r w:rsidR="00C43D1A">
        <w:rPr>
          <w:rFonts w:ascii="Roboto" w:hAnsi="Roboto" w:cs="Arial"/>
          <w:color w:val="0F1115"/>
          <w:sz w:val="20"/>
          <w:szCs w:val="20"/>
          <w:shd w:val="clear" w:color="auto" w:fill="FFFFFF"/>
          <w:lang w:val="en-US"/>
        </w:rPr>
        <w:t xml:space="preserve"> </w:t>
      </w:r>
      <w:proofErr w:type="spellStart"/>
      <w:r w:rsidR="00C43D1A">
        <w:rPr>
          <w:rFonts w:ascii="Roboto" w:hAnsi="Roboto" w:cs="Arial"/>
          <w:color w:val="0F1115"/>
          <w:sz w:val="20"/>
          <w:szCs w:val="20"/>
          <w:shd w:val="clear" w:color="auto" w:fill="FFFFFF"/>
          <w:lang w:val="en-US"/>
        </w:rPr>
        <w:t>porcentaje</w:t>
      </w:r>
      <w:proofErr w:type="spellEnd"/>
      <w:r w:rsidR="00C43D1A">
        <w:rPr>
          <w:rFonts w:ascii="Roboto" w:hAnsi="Roboto" w:cs="Arial"/>
          <w:color w:val="0F1115"/>
          <w:sz w:val="20"/>
          <w:szCs w:val="20"/>
          <w:shd w:val="clear" w:color="auto" w:fill="FFFFFF"/>
          <w:lang w:val="en-US"/>
        </w:rPr>
        <w:t>.</w:t>
      </w:r>
    </w:p>
    <w:tbl>
      <w:tblPr>
        <w:tblW w:w="4914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8"/>
        <w:gridCol w:w="1331"/>
        <w:gridCol w:w="1025"/>
        <w:gridCol w:w="1150"/>
      </w:tblGrid>
      <w:tr w:rsidR="00C43D1A" w:rsidRPr="00C43D1A" w14:paraId="0B613D86" w14:textId="77777777" w:rsidTr="00C43D1A">
        <w:tc>
          <w:tcPr>
            <w:tcW w:w="14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5AFE7B8" w14:textId="77777777" w:rsidR="009C6B02" w:rsidRPr="00C43D1A" w:rsidRDefault="009C6B02">
            <w:pPr>
              <w:rPr>
                <w:rFonts w:ascii="Roboto" w:hAnsi="Roboto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8596AB8" w14:textId="73B34D5C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16"/>
                <w:szCs w:val="16"/>
              </w:rPr>
            </w:pPr>
            <w:r w:rsidRPr="00C43D1A">
              <w:rPr>
                <w:rFonts w:ascii="Roboto" w:hAnsi="Roboto" w:cs="Arial"/>
                <w:color w:val="0F1115"/>
                <w:sz w:val="16"/>
                <w:szCs w:val="16"/>
                <w:shd w:val="clear" w:color="auto" w:fill="FFFFFF"/>
              </w:rPr>
              <w:t>Susceptibili</w:t>
            </w:r>
            <w:r w:rsidR="00C43D1A" w:rsidRPr="00C43D1A">
              <w:rPr>
                <w:rFonts w:ascii="Roboto" w:hAnsi="Roboto" w:cs="Arial"/>
                <w:color w:val="0F1115"/>
                <w:sz w:val="16"/>
                <w:szCs w:val="16"/>
                <w:shd w:val="clear" w:color="auto" w:fill="FFFFFF"/>
              </w:rPr>
              <w:t>dad</w:t>
            </w:r>
          </w:p>
        </w:tc>
        <w:tc>
          <w:tcPr>
            <w:tcW w:w="1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95FC565" w14:textId="5E849A98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16"/>
                <w:szCs w:val="16"/>
              </w:rPr>
            </w:pPr>
            <w:r w:rsidRPr="00C43D1A">
              <w:rPr>
                <w:rFonts w:ascii="Roboto" w:hAnsi="Roboto" w:cs="Arial"/>
                <w:color w:val="0F1115"/>
                <w:sz w:val="16"/>
                <w:szCs w:val="16"/>
                <w:shd w:val="clear" w:color="auto" w:fill="FFFFFF"/>
              </w:rPr>
              <w:t>Resist</w:t>
            </w:r>
            <w:r w:rsidR="00C43D1A" w:rsidRPr="00C43D1A">
              <w:rPr>
                <w:rFonts w:ascii="Roboto" w:hAnsi="Roboto" w:cs="Arial"/>
                <w:color w:val="0F1115"/>
                <w:sz w:val="16"/>
                <w:szCs w:val="16"/>
                <w:shd w:val="clear" w:color="auto" w:fill="FFFFFF"/>
              </w:rPr>
              <w:t>encia</w:t>
            </w:r>
          </w:p>
        </w:tc>
        <w:tc>
          <w:tcPr>
            <w:tcW w:w="11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A24A882" w14:textId="4A967772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16"/>
                <w:szCs w:val="16"/>
              </w:rPr>
            </w:pPr>
            <w:r w:rsidRPr="00C43D1A">
              <w:rPr>
                <w:rFonts w:ascii="Roboto" w:hAnsi="Roboto" w:cs="Arial"/>
                <w:color w:val="0F1115"/>
                <w:sz w:val="16"/>
                <w:szCs w:val="16"/>
                <w:shd w:val="clear" w:color="auto" w:fill="FFFFFF"/>
              </w:rPr>
              <w:t>Intermedi</w:t>
            </w:r>
            <w:r w:rsidR="00C43D1A" w:rsidRPr="00C43D1A">
              <w:rPr>
                <w:rFonts w:ascii="Roboto" w:hAnsi="Roboto" w:cs="Arial"/>
                <w:color w:val="0F1115"/>
                <w:sz w:val="16"/>
                <w:szCs w:val="16"/>
                <w:shd w:val="clear" w:color="auto" w:fill="FFFFFF"/>
              </w:rPr>
              <w:t>o</w:t>
            </w:r>
          </w:p>
        </w:tc>
      </w:tr>
      <w:tr w:rsidR="00C43D1A" w:rsidRPr="00C43D1A" w14:paraId="69399221" w14:textId="77777777" w:rsidTr="00C43D1A">
        <w:tc>
          <w:tcPr>
            <w:tcW w:w="14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C81FD4C" w14:textId="097137D2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18"/>
                <w:szCs w:val="18"/>
              </w:rPr>
            </w:pPr>
            <w:r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Amikacin</w:t>
            </w:r>
            <w:r w:rsidR="00C43D1A"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a</w:t>
            </w:r>
          </w:p>
        </w:tc>
        <w:tc>
          <w:tcPr>
            <w:tcW w:w="1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1DF0841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19.3</w:t>
            </w:r>
          </w:p>
        </w:tc>
        <w:tc>
          <w:tcPr>
            <w:tcW w:w="1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44C6F92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15.5</w:t>
            </w:r>
          </w:p>
        </w:tc>
        <w:tc>
          <w:tcPr>
            <w:tcW w:w="11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360F23A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0.2</w:t>
            </w:r>
          </w:p>
        </w:tc>
      </w:tr>
      <w:tr w:rsidR="00C43D1A" w:rsidRPr="00C43D1A" w14:paraId="6B311197" w14:textId="77777777" w:rsidTr="00C43D1A">
        <w:tc>
          <w:tcPr>
            <w:tcW w:w="14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0A7EDF4" w14:textId="577719E0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18"/>
                <w:szCs w:val="18"/>
              </w:rPr>
            </w:pPr>
            <w:proofErr w:type="spellStart"/>
            <w:r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Ampicillin</w:t>
            </w:r>
            <w:r w:rsidR="00C43D1A"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a</w:t>
            </w:r>
            <w:proofErr w:type="spellEnd"/>
          </w:p>
        </w:tc>
        <w:tc>
          <w:tcPr>
            <w:tcW w:w="1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5608E0C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43.2</w:t>
            </w:r>
          </w:p>
        </w:tc>
        <w:tc>
          <w:tcPr>
            <w:tcW w:w="1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4362520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46.8</w:t>
            </w:r>
          </w:p>
        </w:tc>
        <w:tc>
          <w:tcPr>
            <w:tcW w:w="11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C3AEA08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9.9</w:t>
            </w:r>
          </w:p>
        </w:tc>
      </w:tr>
      <w:tr w:rsidR="00C43D1A" w:rsidRPr="00C43D1A" w14:paraId="649ACE46" w14:textId="77777777" w:rsidTr="00C43D1A">
        <w:tc>
          <w:tcPr>
            <w:tcW w:w="14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47CC225" w14:textId="19FC8020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18"/>
                <w:szCs w:val="18"/>
              </w:rPr>
            </w:pPr>
            <w:r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Ce</w:t>
            </w:r>
            <w:r w:rsidR="00C43D1A"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falotina</w:t>
            </w:r>
          </w:p>
        </w:tc>
        <w:tc>
          <w:tcPr>
            <w:tcW w:w="1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130DBAF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51.9</w:t>
            </w:r>
          </w:p>
        </w:tc>
        <w:tc>
          <w:tcPr>
            <w:tcW w:w="1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A68A509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44.4</w:t>
            </w:r>
          </w:p>
        </w:tc>
        <w:tc>
          <w:tcPr>
            <w:tcW w:w="11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B9029A6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3.5</w:t>
            </w:r>
          </w:p>
        </w:tc>
      </w:tr>
      <w:tr w:rsidR="00C43D1A" w:rsidRPr="00C43D1A" w14:paraId="00C8DA6A" w14:textId="77777777" w:rsidTr="00C43D1A">
        <w:tc>
          <w:tcPr>
            <w:tcW w:w="14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1E82EC5" w14:textId="5AB5DDBD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18"/>
                <w:szCs w:val="18"/>
              </w:rPr>
            </w:pPr>
            <w:r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Cefepim</w:t>
            </w:r>
            <w:r w:rsidR="00C43D1A"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a</w:t>
            </w:r>
          </w:p>
        </w:tc>
        <w:tc>
          <w:tcPr>
            <w:tcW w:w="1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356FF26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59.2</w:t>
            </w:r>
          </w:p>
        </w:tc>
        <w:tc>
          <w:tcPr>
            <w:tcW w:w="1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B874EDE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39.9</w:t>
            </w:r>
          </w:p>
        </w:tc>
        <w:tc>
          <w:tcPr>
            <w:tcW w:w="11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0E94A01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0.7</w:t>
            </w:r>
          </w:p>
        </w:tc>
      </w:tr>
      <w:tr w:rsidR="00C43D1A" w:rsidRPr="00C43D1A" w14:paraId="46776F28" w14:textId="77777777" w:rsidTr="00C43D1A">
        <w:tc>
          <w:tcPr>
            <w:tcW w:w="14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46FC403" w14:textId="758AC16D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18"/>
                <w:szCs w:val="18"/>
              </w:rPr>
            </w:pPr>
            <w:r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Ceftazidim</w:t>
            </w:r>
            <w:r w:rsidR="00C43D1A"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a</w:t>
            </w:r>
          </w:p>
        </w:tc>
        <w:tc>
          <w:tcPr>
            <w:tcW w:w="1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EBF8713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58.9</w:t>
            </w:r>
          </w:p>
        </w:tc>
        <w:tc>
          <w:tcPr>
            <w:tcW w:w="1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4ADBD07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40.5</w:t>
            </w:r>
          </w:p>
        </w:tc>
        <w:tc>
          <w:tcPr>
            <w:tcW w:w="11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839A4E3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0.5</w:t>
            </w:r>
          </w:p>
        </w:tc>
      </w:tr>
      <w:tr w:rsidR="00C43D1A" w:rsidRPr="00C43D1A" w14:paraId="5E657F09" w14:textId="77777777" w:rsidTr="00C43D1A">
        <w:tc>
          <w:tcPr>
            <w:tcW w:w="14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EF03170" w14:textId="0A0AE6C6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18"/>
                <w:szCs w:val="18"/>
              </w:rPr>
            </w:pPr>
            <w:r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Ceftriaxon</w:t>
            </w:r>
            <w:r w:rsidR="00C43D1A"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a</w:t>
            </w:r>
          </w:p>
        </w:tc>
        <w:tc>
          <w:tcPr>
            <w:tcW w:w="1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FA582B6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56.7</w:t>
            </w:r>
          </w:p>
        </w:tc>
        <w:tc>
          <w:tcPr>
            <w:tcW w:w="1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B943EAE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42.5</w:t>
            </w:r>
          </w:p>
        </w:tc>
        <w:tc>
          <w:tcPr>
            <w:tcW w:w="11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1358CC0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0.6</w:t>
            </w:r>
          </w:p>
        </w:tc>
      </w:tr>
      <w:tr w:rsidR="00C43D1A" w:rsidRPr="00C43D1A" w14:paraId="105AB38A" w14:textId="77777777" w:rsidTr="00C43D1A">
        <w:tc>
          <w:tcPr>
            <w:tcW w:w="14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6C75B93" w14:textId="4BF4A095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18"/>
                <w:szCs w:val="18"/>
              </w:rPr>
            </w:pPr>
            <w:r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Cefuroxim</w:t>
            </w:r>
            <w:r w:rsidR="00C43D1A"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a</w:t>
            </w:r>
          </w:p>
        </w:tc>
        <w:tc>
          <w:tcPr>
            <w:tcW w:w="1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9111867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46.8</w:t>
            </w:r>
          </w:p>
        </w:tc>
        <w:tc>
          <w:tcPr>
            <w:tcW w:w="1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FE206F3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48.2</w:t>
            </w:r>
          </w:p>
        </w:tc>
        <w:tc>
          <w:tcPr>
            <w:tcW w:w="11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D3188D2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4.9</w:t>
            </w:r>
          </w:p>
        </w:tc>
      </w:tr>
      <w:tr w:rsidR="00C43D1A" w:rsidRPr="00C43D1A" w14:paraId="25C3FA16" w14:textId="77777777" w:rsidTr="00C43D1A">
        <w:tc>
          <w:tcPr>
            <w:tcW w:w="14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2A6610B" w14:textId="55AD213D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18"/>
                <w:szCs w:val="18"/>
              </w:rPr>
            </w:pPr>
            <w:r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Ciprofloxacin</w:t>
            </w:r>
            <w:r w:rsidR="00C43D1A"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o</w:t>
            </w:r>
          </w:p>
        </w:tc>
        <w:tc>
          <w:tcPr>
            <w:tcW w:w="1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3E5A768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42</w:t>
            </w:r>
          </w:p>
        </w:tc>
        <w:tc>
          <w:tcPr>
            <w:tcW w:w="1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C541467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48.8</w:t>
            </w:r>
          </w:p>
        </w:tc>
        <w:tc>
          <w:tcPr>
            <w:tcW w:w="11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09F992C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9</w:t>
            </w:r>
          </w:p>
        </w:tc>
      </w:tr>
      <w:tr w:rsidR="00C43D1A" w:rsidRPr="00C43D1A" w14:paraId="6B5ACC3F" w14:textId="77777777" w:rsidTr="00C43D1A">
        <w:tc>
          <w:tcPr>
            <w:tcW w:w="14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A5DF44F" w14:textId="35EBD391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18"/>
                <w:szCs w:val="18"/>
              </w:rPr>
            </w:pPr>
            <w:r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Clindam</w:t>
            </w:r>
            <w:r w:rsidR="00C43D1A"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icina</w:t>
            </w:r>
          </w:p>
        </w:tc>
        <w:tc>
          <w:tcPr>
            <w:tcW w:w="1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1725E21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70.6</w:t>
            </w:r>
          </w:p>
        </w:tc>
        <w:tc>
          <w:tcPr>
            <w:tcW w:w="1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B91F341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29.3</w:t>
            </w:r>
          </w:p>
        </w:tc>
        <w:tc>
          <w:tcPr>
            <w:tcW w:w="11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92DC13A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0</w:t>
            </w:r>
          </w:p>
        </w:tc>
      </w:tr>
      <w:tr w:rsidR="00C43D1A" w:rsidRPr="00C43D1A" w14:paraId="49FF958A" w14:textId="77777777" w:rsidTr="00C43D1A">
        <w:tc>
          <w:tcPr>
            <w:tcW w:w="14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55A8899" w14:textId="2BC8ADBA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18"/>
                <w:szCs w:val="18"/>
              </w:rPr>
            </w:pPr>
            <w:r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Daptom</w:t>
            </w:r>
            <w:r w:rsidR="00C43D1A"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icina</w:t>
            </w:r>
          </w:p>
        </w:tc>
        <w:tc>
          <w:tcPr>
            <w:tcW w:w="1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D3704DC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75.6</w:t>
            </w:r>
          </w:p>
        </w:tc>
        <w:tc>
          <w:tcPr>
            <w:tcW w:w="1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2C25D5D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13.5</w:t>
            </w:r>
          </w:p>
        </w:tc>
        <w:tc>
          <w:tcPr>
            <w:tcW w:w="11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58492C7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10.8</w:t>
            </w:r>
          </w:p>
        </w:tc>
      </w:tr>
      <w:tr w:rsidR="00C43D1A" w:rsidRPr="00C43D1A" w14:paraId="6CBDADF5" w14:textId="77777777" w:rsidTr="00C43D1A">
        <w:tc>
          <w:tcPr>
            <w:tcW w:w="14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D18A047" w14:textId="4BBB0CF1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18"/>
                <w:szCs w:val="18"/>
              </w:rPr>
            </w:pPr>
            <w:proofErr w:type="spellStart"/>
            <w:r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Doxyc</w:t>
            </w:r>
            <w:r w:rsidR="00C43D1A"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i</w:t>
            </w:r>
            <w:r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clin</w:t>
            </w:r>
            <w:r w:rsidR="00C43D1A"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a</w:t>
            </w:r>
            <w:proofErr w:type="spellEnd"/>
          </w:p>
        </w:tc>
        <w:tc>
          <w:tcPr>
            <w:tcW w:w="1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4C9B921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36.1</w:t>
            </w:r>
          </w:p>
        </w:tc>
        <w:tc>
          <w:tcPr>
            <w:tcW w:w="1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9D01236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13.5</w:t>
            </w:r>
          </w:p>
        </w:tc>
        <w:tc>
          <w:tcPr>
            <w:tcW w:w="11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E5778AF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10.8</w:t>
            </w:r>
          </w:p>
        </w:tc>
      </w:tr>
      <w:tr w:rsidR="00C43D1A" w:rsidRPr="00C43D1A" w14:paraId="5C7660F4" w14:textId="77777777" w:rsidTr="00C43D1A">
        <w:tc>
          <w:tcPr>
            <w:tcW w:w="14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3C78EC8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18"/>
                <w:szCs w:val="18"/>
              </w:rPr>
            </w:pPr>
            <w:proofErr w:type="spellStart"/>
            <w:r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Ertapenem</w:t>
            </w:r>
            <w:proofErr w:type="spellEnd"/>
          </w:p>
        </w:tc>
        <w:tc>
          <w:tcPr>
            <w:tcW w:w="1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9BD7562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98.6</w:t>
            </w:r>
          </w:p>
        </w:tc>
        <w:tc>
          <w:tcPr>
            <w:tcW w:w="1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44D0B90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1.2</w:t>
            </w:r>
          </w:p>
        </w:tc>
        <w:tc>
          <w:tcPr>
            <w:tcW w:w="11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AC180C9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0.1</w:t>
            </w:r>
          </w:p>
        </w:tc>
      </w:tr>
      <w:tr w:rsidR="00C43D1A" w:rsidRPr="00C43D1A" w14:paraId="41E8E965" w14:textId="77777777" w:rsidTr="00C43D1A">
        <w:tc>
          <w:tcPr>
            <w:tcW w:w="14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4726AD9" w14:textId="61EC4D05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18"/>
                <w:szCs w:val="18"/>
              </w:rPr>
            </w:pPr>
            <w:r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Gentamicin</w:t>
            </w:r>
            <w:r w:rsidR="00C43D1A"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a</w:t>
            </w:r>
          </w:p>
        </w:tc>
        <w:tc>
          <w:tcPr>
            <w:tcW w:w="1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479EA7C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78.1</w:t>
            </w:r>
          </w:p>
        </w:tc>
        <w:tc>
          <w:tcPr>
            <w:tcW w:w="1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4258738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20.6</w:t>
            </w:r>
          </w:p>
        </w:tc>
        <w:tc>
          <w:tcPr>
            <w:tcW w:w="11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EC11FAD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1.2</w:t>
            </w:r>
          </w:p>
        </w:tc>
      </w:tr>
      <w:tr w:rsidR="00C43D1A" w:rsidRPr="00C43D1A" w14:paraId="66AC8844" w14:textId="77777777" w:rsidTr="00C43D1A">
        <w:tc>
          <w:tcPr>
            <w:tcW w:w="14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F4E8E5A" w14:textId="41539FFE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18"/>
                <w:szCs w:val="18"/>
              </w:rPr>
            </w:pPr>
            <w:r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Levofloxacin</w:t>
            </w:r>
            <w:r w:rsidR="00C43D1A"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o</w:t>
            </w:r>
          </w:p>
        </w:tc>
        <w:tc>
          <w:tcPr>
            <w:tcW w:w="1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3B7D130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90</w:t>
            </w:r>
          </w:p>
        </w:tc>
        <w:tc>
          <w:tcPr>
            <w:tcW w:w="1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DE0E4A5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8.4</w:t>
            </w:r>
          </w:p>
        </w:tc>
        <w:tc>
          <w:tcPr>
            <w:tcW w:w="11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7B06F5A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1.5</w:t>
            </w:r>
          </w:p>
        </w:tc>
      </w:tr>
      <w:tr w:rsidR="00C43D1A" w:rsidRPr="00C43D1A" w14:paraId="2A777A61" w14:textId="77777777" w:rsidTr="00C43D1A">
        <w:tc>
          <w:tcPr>
            <w:tcW w:w="14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3F477DE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18"/>
                <w:szCs w:val="18"/>
              </w:rPr>
            </w:pPr>
            <w:proofErr w:type="spellStart"/>
            <w:r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Linezolid</w:t>
            </w:r>
            <w:proofErr w:type="spellEnd"/>
          </w:p>
        </w:tc>
        <w:tc>
          <w:tcPr>
            <w:tcW w:w="1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4A726FC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99.1</w:t>
            </w:r>
          </w:p>
        </w:tc>
        <w:tc>
          <w:tcPr>
            <w:tcW w:w="1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B8F7940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0.6</w:t>
            </w:r>
          </w:p>
        </w:tc>
        <w:tc>
          <w:tcPr>
            <w:tcW w:w="11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A2B4EB6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0.1</w:t>
            </w:r>
          </w:p>
        </w:tc>
      </w:tr>
      <w:tr w:rsidR="00C43D1A" w:rsidRPr="00C43D1A" w14:paraId="79AB8073" w14:textId="77777777" w:rsidTr="00C43D1A">
        <w:tc>
          <w:tcPr>
            <w:tcW w:w="14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49EA20C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18"/>
                <w:szCs w:val="18"/>
              </w:rPr>
            </w:pPr>
            <w:r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Meropenem</w:t>
            </w:r>
          </w:p>
        </w:tc>
        <w:tc>
          <w:tcPr>
            <w:tcW w:w="1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4BB72CA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98.1</w:t>
            </w:r>
          </w:p>
        </w:tc>
        <w:tc>
          <w:tcPr>
            <w:tcW w:w="1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62F6D58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1.6</w:t>
            </w:r>
          </w:p>
        </w:tc>
        <w:tc>
          <w:tcPr>
            <w:tcW w:w="11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482D17E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0.1</w:t>
            </w:r>
          </w:p>
        </w:tc>
      </w:tr>
      <w:tr w:rsidR="00C43D1A" w:rsidRPr="00C43D1A" w14:paraId="794CE4E7" w14:textId="77777777" w:rsidTr="00C43D1A">
        <w:tc>
          <w:tcPr>
            <w:tcW w:w="14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36BA607" w14:textId="402DB1AF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18"/>
                <w:szCs w:val="18"/>
              </w:rPr>
            </w:pPr>
            <w:r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Moxifloxacin</w:t>
            </w:r>
            <w:r w:rsidR="00C43D1A"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o</w:t>
            </w:r>
          </w:p>
        </w:tc>
        <w:tc>
          <w:tcPr>
            <w:tcW w:w="1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3CD23E7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82.5</w:t>
            </w:r>
          </w:p>
        </w:tc>
        <w:tc>
          <w:tcPr>
            <w:tcW w:w="1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FE701BA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8.9</w:t>
            </w:r>
          </w:p>
        </w:tc>
        <w:tc>
          <w:tcPr>
            <w:tcW w:w="11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C3A07E0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8.5</w:t>
            </w:r>
          </w:p>
        </w:tc>
      </w:tr>
      <w:tr w:rsidR="00C43D1A" w:rsidRPr="00C43D1A" w14:paraId="2DD43ABD" w14:textId="77777777" w:rsidTr="00C43D1A">
        <w:tc>
          <w:tcPr>
            <w:tcW w:w="14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5F66B88" w14:textId="72EA1CF9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18"/>
                <w:szCs w:val="18"/>
              </w:rPr>
            </w:pPr>
            <w:proofErr w:type="spellStart"/>
            <w:r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Nitrofurantoi</w:t>
            </w:r>
            <w:proofErr w:type="spellEnd"/>
          </w:p>
        </w:tc>
        <w:tc>
          <w:tcPr>
            <w:tcW w:w="1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987EC64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66.1</w:t>
            </w:r>
          </w:p>
        </w:tc>
        <w:tc>
          <w:tcPr>
            <w:tcW w:w="1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E8483B4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28.1</w:t>
            </w:r>
          </w:p>
        </w:tc>
        <w:tc>
          <w:tcPr>
            <w:tcW w:w="11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CBD8641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5.6</w:t>
            </w:r>
          </w:p>
        </w:tc>
      </w:tr>
      <w:tr w:rsidR="009C6B02" w14:paraId="659A11C6" w14:textId="77777777" w:rsidTr="00C43D1A">
        <w:tc>
          <w:tcPr>
            <w:tcW w:w="14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1DE374E" w14:textId="1A66618A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18"/>
                <w:szCs w:val="18"/>
              </w:rPr>
            </w:pPr>
            <w:proofErr w:type="spellStart"/>
            <w:r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Norfloxacin</w:t>
            </w:r>
            <w:r w:rsidR="00C43D1A"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o</w:t>
            </w:r>
            <w:proofErr w:type="spellEnd"/>
          </w:p>
        </w:tc>
        <w:tc>
          <w:tcPr>
            <w:tcW w:w="1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4FC9297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53.3</w:t>
            </w:r>
          </w:p>
        </w:tc>
        <w:tc>
          <w:tcPr>
            <w:tcW w:w="1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89069DE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43.2</w:t>
            </w:r>
          </w:p>
        </w:tc>
        <w:tc>
          <w:tcPr>
            <w:tcW w:w="11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73A60A3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3.3</w:t>
            </w:r>
          </w:p>
        </w:tc>
      </w:tr>
      <w:tr w:rsidR="00C43D1A" w:rsidRPr="00C43D1A" w14:paraId="69D22B9C" w14:textId="77777777" w:rsidTr="00C43D1A">
        <w:tc>
          <w:tcPr>
            <w:tcW w:w="14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2A8BA7C" w14:textId="64B89FF5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18"/>
                <w:szCs w:val="18"/>
              </w:rPr>
            </w:pPr>
            <w:proofErr w:type="spellStart"/>
            <w:r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Oxacillin</w:t>
            </w:r>
            <w:r w:rsidR="00C43D1A"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a</w:t>
            </w:r>
            <w:proofErr w:type="spellEnd"/>
          </w:p>
        </w:tc>
        <w:tc>
          <w:tcPr>
            <w:tcW w:w="1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E0713EA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79.5</w:t>
            </w:r>
          </w:p>
        </w:tc>
        <w:tc>
          <w:tcPr>
            <w:tcW w:w="1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093F549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20.4</w:t>
            </w:r>
          </w:p>
        </w:tc>
        <w:tc>
          <w:tcPr>
            <w:tcW w:w="11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735E654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0</w:t>
            </w:r>
          </w:p>
        </w:tc>
      </w:tr>
      <w:tr w:rsidR="00C43D1A" w:rsidRPr="00C43D1A" w14:paraId="604FF61C" w14:textId="77777777" w:rsidTr="00C43D1A">
        <w:tc>
          <w:tcPr>
            <w:tcW w:w="14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EDFECB1" w14:textId="613AC842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18"/>
                <w:szCs w:val="18"/>
              </w:rPr>
            </w:pPr>
            <w:r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Rifampi</w:t>
            </w:r>
            <w:r w:rsidR="00C43D1A"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cina</w:t>
            </w:r>
          </w:p>
        </w:tc>
        <w:tc>
          <w:tcPr>
            <w:tcW w:w="1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F882728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78.4</w:t>
            </w:r>
          </w:p>
        </w:tc>
        <w:tc>
          <w:tcPr>
            <w:tcW w:w="1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552EFBE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21.5</w:t>
            </w:r>
          </w:p>
        </w:tc>
        <w:tc>
          <w:tcPr>
            <w:tcW w:w="11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9C40712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0</w:t>
            </w:r>
          </w:p>
        </w:tc>
      </w:tr>
      <w:tr w:rsidR="00C43D1A" w:rsidRPr="00C43D1A" w14:paraId="3A85353D" w14:textId="77777777" w:rsidTr="00C43D1A">
        <w:tc>
          <w:tcPr>
            <w:tcW w:w="14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6A16F54" w14:textId="09EE1998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18"/>
                <w:szCs w:val="18"/>
              </w:rPr>
            </w:pPr>
            <w:r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Tetrac</w:t>
            </w:r>
            <w:r w:rsidR="00C43D1A"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iclina</w:t>
            </w:r>
          </w:p>
        </w:tc>
        <w:tc>
          <w:tcPr>
            <w:tcW w:w="1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A38DD95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76.4</w:t>
            </w:r>
          </w:p>
        </w:tc>
        <w:tc>
          <w:tcPr>
            <w:tcW w:w="1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2995E8A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22.9</w:t>
            </w:r>
          </w:p>
        </w:tc>
        <w:tc>
          <w:tcPr>
            <w:tcW w:w="11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0CCC3ED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0.6</w:t>
            </w:r>
          </w:p>
        </w:tc>
      </w:tr>
      <w:tr w:rsidR="00C43D1A" w:rsidRPr="00C43D1A" w14:paraId="6A4742E4" w14:textId="77777777" w:rsidTr="00C43D1A">
        <w:tc>
          <w:tcPr>
            <w:tcW w:w="14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3582C58" w14:textId="0244D1B2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18"/>
                <w:szCs w:val="18"/>
              </w:rPr>
            </w:pPr>
            <w:proofErr w:type="spellStart"/>
            <w:r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Tigec</w:t>
            </w:r>
            <w:r w:rsidR="00C43D1A"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iclina</w:t>
            </w:r>
            <w:proofErr w:type="spellEnd"/>
          </w:p>
        </w:tc>
        <w:tc>
          <w:tcPr>
            <w:tcW w:w="1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8A9F4E1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53.9</w:t>
            </w:r>
          </w:p>
        </w:tc>
        <w:tc>
          <w:tcPr>
            <w:tcW w:w="1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B240518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45.9</w:t>
            </w:r>
          </w:p>
        </w:tc>
        <w:tc>
          <w:tcPr>
            <w:tcW w:w="11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FE4741D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0.08</w:t>
            </w:r>
          </w:p>
        </w:tc>
      </w:tr>
      <w:tr w:rsidR="00C43D1A" w:rsidRPr="00C43D1A" w14:paraId="32397848" w14:textId="77777777" w:rsidTr="00C43D1A">
        <w:tc>
          <w:tcPr>
            <w:tcW w:w="14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ADE142C" w14:textId="3D8EABA0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18"/>
                <w:szCs w:val="18"/>
              </w:rPr>
            </w:pPr>
            <w:r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T</w:t>
            </w:r>
            <w:r w:rsidR="00C43D1A"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MP/SMX</w:t>
            </w:r>
          </w:p>
        </w:tc>
        <w:tc>
          <w:tcPr>
            <w:tcW w:w="1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4B8B2AD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59.1</w:t>
            </w:r>
          </w:p>
        </w:tc>
        <w:tc>
          <w:tcPr>
            <w:tcW w:w="1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CAB76C1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40.6</w:t>
            </w:r>
          </w:p>
        </w:tc>
        <w:tc>
          <w:tcPr>
            <w:tcW w:w="11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8F7B722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0.1</w:t>
            </w:r>
          </w:p>
        </w:tc>
      </w:tr>
      <w:tr w:rsidR="00C43D1A" w:rsidRPr="00C43D1A" w14:paraId="0C22B586" w14:textId="77777777" w:rsidTr="00C43D1A">
        <w:tc>
          <w:tcPr>
            <w:tcW w:w="14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1C82F55" w14:textId="7A799AAF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18"/>
                <w:szCs w:val="18"/>
              </w:rPr>
            </w:pPr>
            <w:r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Vancom</w:t>
            </w:r>
            <w:r w:rsidR="00C43D1A" w:rsidRPr="00C43D1A">
              <w:rPr>
                <w:rFonts w:ascii="Roboto" w:hAnsi="Roboto" w:cs="Arial"/>
                <w:color w:val="0F1115"/>
                <w:sz w:val="18"/>
                <w:szCs w:val="18"/>
                <w:shd w:val="clear" w:color="auto" w:fill="FFFFFF"/>
              </w:rPr>
              <w:t>icina</w:t>
            </w:r>
          </w:p>
        </w:tc>
        <w:tc>
          <w:tcPr>
            <w:tcW w:w="1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7CCAD2A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91.8</w:t>
            </w:r>
          </w:p>
        </w:tc>
        <w:tc>
          <w:tcPr>
            <w:tcW w:w="1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21C0391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7.6</w:t>
            </w:r>
          </w:p>
        </w:tc>
        <w:tc>
          <w:tcPr>
            <w:tcW w:w="11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7C1AD50" w14:textId="77777777" w:rsidR="009C6B02" w:rsidRPr="00C43D1A" w:rsidRDefault="009C6B02">
            <w:pPr>
              <w:pStyle w:val="NormalWeb"/>
              <w:spacing w:before="0" w:beforeAutospacing="0" w:after="0" w:afterAutospacing="0"/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C43D1A">
              <w:rPr>
                <w:rFonts w:ascii="Roboto" w:hAnsi="Roboto" w:cs="Arial"/>
                <w:color w:val="0F1115"/>
                <w:sz w:val="20"/>
                <w:szCs w:val="20"/>
                <w:shd w:val="clear" w:color="auto" w:fill="FFFFFF"/>
              </w:rPr>
              <w:t>0.4</w:t>
            </w:r>
          </w:p>
        </w:tc>
      </w:tr>
    </w:tbl>
    <w:p w14:paraId="4FF76017" w14:textId="6CDB1F9D" w:rsidR="00EA521D" w:rsidRPr="001D3DE8" w:rsidRDefault="00C43D1A" w:rsidP="00EA521D">
      <w:pPr>
        <w:pStyle w:val="ds-markdown-paragraph"/>
        <w:shd w:val="clear" w:color="auto" w:fill="FFFFFF"/>
        <w:spacing w:after="0" w:afterAutospacing="0"/>
        <w:jc w:val="both"/>
        <w:rPr>
          <w:rFonts w:ascii="Roboto" w:hAnsi="Roboto" w:cs="Segoe UI"/>
          <w:color w:val="0F1115"/>
          <w:sz w:val="20"/>
          <w:szCs w:val="20"/>
        </w:rPr>
      </w:pPr>
      <w:r>
        <w:rPr>
          <w:rFonts w:ascii="Roboto" w:hAnsi="Roboto" w:cs="Segoe UI"/>
          <w:color w:val="0F1115"/>
          <w:sz w:val="20"/>
          <w:szCs w:val="20"/>
        </w:rPr>
        <w:t>Figura 1, Perfil regional de compra</w:t>
      </w:r>
    </w:p>
    <w:p w14:paraId="7D4CF6A6" w14:textId="2B34DEE9" w:rsidR="001D3DE8" w:rsidRDefault="009C6B02">
      <w:pPr>
        <w:jc w:val="both"/>
        <w:rPr>
          <w:rFonts w:ascii="Roboto" w:eastAsia="Roboto" w:hAnsi="Roboto" w:cs="Roboto"/>
          <w:sz w:val="20"/>
          <w:szCs w:val="20"/>
        </w:rPr>
      </w:pPr>
      <w:r>
        <w:rPr>
          <w:noProof/>
        </w:rPr>
        <w:drawing>
          <wp:inline distT="0" distB="0" distL="0" distR="0" wp14:anchorId="265853C8" wp14:editId="35D6BF8E">
            <wp:extent cx="3011170" cy="1806575"/>
            <wp:effectExtent l="0" t="0" r="17780" b="3175"/>
            <wp:docPr id="1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85E3C7D5-D8B4-4F41-9306-606CDF40234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515F334E" w14:textId="77777777" w:rsidR="001D3DE8" w:rsidRDefault="001D3DE8">
      <w:pPr>
        <w:jc w:val="both"/>
        <w:rPr>
          <w:rFonts w:ascii="Roboto" w:eastAsia="Roboto" w:hAnsi="Roboto" w:cs="Roboto"/>
          <w:sz w:val="20"/>
          <w:szCs w:val="20"/>
        </w:rPr>
      </w:pPr>
    </w:p>
    <w:p w14:paraId="51051B56" w14:textId="77777777" w:rsidR="001D3DE8" w:rsidRDefault="001D3DE8">
      <w:pPr>
        <w:jc w:val="both"/>
        <w:rPr>
          <w:rFonts w:ascii="Roboto" w:eastAsia="Roboto" w:hAnsi="Roboto" w:cs="Roboto"/>
          <w:sz w:val="20"/>
          <w:szCs w:val="20"/>
        </w:rPr>
      </w:pPr>
    </w:p>
    <w:p w14:paraId="0F8DBD56" w14:textId="4BA5348E" w:rsidR="001B037E" w:rsidRDefault="001B037E">
      <w:pPr>
        <w:jc w:val="both"/>
        <w:rPr>
          <w:rFonts w:ascii="Roboto" w:eastAsia="Roboto" w:hAnsi="Roboto" w:cs="Roboto"/>
          <w:sz w:val="20"/>
          <w:szCs w:val="20"/>
        </w:rPr>
      </w:pPr>
    </w:p>
    <w:p w14:paraId="1BDDFACA" w14:textId="1046CDA5" w:rsidR="001B037E" w:rsidRPr="001B037E" w:rsidRDefault="001B037E">
      <w:pPr>
        <w:jc w:val="both"/>
        <w:rPr>
          <w:rFonts w:ascii="Roboto" w:hAnsi="Roboto" w:cs="Arial"/>
          <w:color w:val="000000"/>
          <w:sz w:val="20"/>
          <w:szCs w:val="20"/>
          <w:shd w:val="clear" w:color="auto" w:fill="FFFFFF"/>
        </w:rPr>
      </w:pPr>
      <w:proofErr w:type="spellStart"/>
      <w:r w:rsidRPr="001B037E">
        <w:rPr>
          <w:rFonts w:ascii="Roboto" w:hAnsi="Roboto" w:cs="Arial"/>
          <w:color w:val="000000"/>
          <w:sz w:val="20"/>
          <w:szCs w:val="20"/>
          <w:shd w:val="clear" w:color="auto" w:fill="FFFFFF"/>
          <w:lang w:val="en-US"/>
        </w:rPr>
        <w:t>Bavanandan</w:t>
      </w:r>
      <w:proofErr w:type="spellEnd"/>
      <w:r>
        <w:rPr>
          <w:rFonts w:ascii="Roboto" w:hAnsi="Roboto" w:cs="Arial"/>
          <w:color w:val="000000"/>
          <w:sz w:val="20"/>
          <w:szCs w:val="20"/>
          <w:shd w:val="clear" w:color="auto" w:fill="FFFFFF"/>
          <w:lang w:val="en-US"/>
        </w:rPr>
        <w:t>,</w:t>
      </w:r>
      <w:r w:rsidRPr="001B037E">
        <w:rPr>
          <w:rFonts w:ascii="Roboto" w:hAnsi="Roboto" w:cs="Arial"/>
          <w:color w:val="000000"/>
          <w:sz w:val="20"/>
          <w:szCs w:val="20"/>
          <w:shd w:val="clear" w:color="auto" w:fill="FFFFFF"/>
          <w:lang w:val="en-US"/>
        </w:rPr>
        <w:t xml:space="preserve"> S</w:t>
      </w:r>
      <w:r>
        <w:rPr>
          <w:rFonts w:ascii="Roboto" w:hAnsi="Roboto" w:cs="Arial"/>
          <w:color w:val="000000"/>
          <w:sz w:val="20"/>
          <w:szCs w:val="20"/>
          <w:shd w:val="clear" w:color="auto" w:fill="FFFFFF"/>
          <w:lang w:val="en-US"/>
        </w:rPr>
        <w:t>.</w:t>
      </w:r>
      <w:r w:rsidRPr="001B037E">
        <w:rPr>
          <w:rFonts w:ascii="Roboto" w:hAnsi="Roboto" w:cs="Arial"/>
          <w:color w:val="000000"/>
          <w:sz w:val="20"/>
          <w:szCs w:val="20"/>
          <w:shd w:val="clear" w:color="auto" w:fill="FFFFFF"/>
          <w:lang w:val="en-US"/>
        </w:rPr>
        <w:t>, Keita</w:t>
      </w:r>
      <w:r>
        <w:rPr>
          <w:rFonts w:ascii="Roboto" w:hAnsi="Roboto" w:cs="Arial"/>
          <w:color w:val="000000"/>
          <w:sz w:val="20"/>
          <w:szCs w:val="20"/>
          <w:shd w:val="clear" w:color="auto" w:fill="FFFFFF"/>
          <w:lang w:val="en-US"/>
        </w:rPr>
        <w:t>,</w:t>
      </w:r>
      <w:r w:rsidRPr="001B037E">
        <w:rPr>
          <w:rFonts w:ascii="Roboto" w:hAnsi="Roboto" w:cs="Arial"/>
          <w:color w:val="000000"/>
          <w:sz w:val="20"/>
          <w:szCs w:val="20"/>
          <w:shd w:val="clear" w:color="auto" w:fill="FFFFFF"/>
          <w:lang w:val="en-US"/>
        </w:rPr>
        <w:t xml:space="preserve"> N.</w:t>
      </w:r>
      <w:r>
        <w:rPr>
          <w:rFonts w:ascii="Roboto" w:hAnsi="Roboto" w:cs="Arial"/>
          <w:color w:val="000000"/>
          <w:sz w:val="20"/>
          <w:szCs w:val="20"/>
          <w:shd w:val="clear" w:color="auto" w:fill="FFFFFF"/>
          <w:lang w:val="en-US"/>
        </w:rPr>
        <w:t xml:space="preserve"> (2023)</w:t>
      </w:r>
      <w:r w:rsidRPr="001B037E">
        <w:rPr>
          <w:rFonts w:ascii="Roboto" w:hAnsi="Roboto" w:cs="Arial"/>
          <w:color w:val="000000"/>
          <w:sz w:val="20"/>
          <w:szCs w:val="20"/>
          <w:shd w:val="clear" w:color="auto" w:fill="FFFFFF"/>
          <w:lang w:val="en-US"/>
        </w:rPr>
        <w:t xml:space="preserve"> Urinary Tract Infection Prevention and Treatment. Seminars in Nephrology [Internet]. </w:t>
      </w:r>
      <w:r w:rsidRPr="001B037E">
        <w:rPr>
          <w:rFonts w:ascii="Roboto" w:hAnsi="Roboto" w:cs="Arial"/>
          <w:color w:val="000000"/>
          <w:sz w:val="20"/>
          <w:szCs w:val="20"/>
          <w:shd w:val="clear" w:color="auto" w:fill="FFFFFF"/>
        </w:rPr>
        <w:t xml:space="preserve">43(5).  </w:t>
      </w:r>
      <w:hyperlink r:id="rId10" w:history="1">
        <w:r w:rsidRPr="001B037E">
          <w:rPr>
            <w:rStyle w:val="Hipervnculo"/>
            <w:rFonts w:ascii="Roboto" w:hAnsi="Roboto" w:cs="Arial"/>
            <w:sz w:val="20"/>
            <w:szCs w:val="20"/>
            <w:shd w:val="clear" w:color="auto" w:fill="FFFFFF"/>
          </w:rPr>
          <w:t>https://www.clinicalkey.com/#!/content/journal/1-s2.0-S027092952300178X</w:t>
        </w:r>
      </w:hyperlink>
    </w:p>
    <w:p w14:paraId="6F169CAB" w14:textId="03956251" w:rsidR="001B037E" w:rsidRPr="001B037E" w:rsidRDefault="001B037E">
      <w:pPr>
        <w:jc w:val="both"/>
        <w:rPr>
          <w:rFonts w:ascii="Roboto" w:hAnsi="Roboto" w:cs="Arial"/>
          <w:color w:val="000000"/>
          <w:sz w:val="20"/>
          <w:szCs w:val="20"/>
          <w:shd w:val="clear" w:color="auto" w:fill="FFFFFF"/>
          <w:lang w:val="en-US"/>
        </w:rPr>
      </w:pPr>
      <w:r w:rsidRPr="001B037E">
        <w:rPr>
          <w:rFonts w:ascii="Roboto" w:hAnsi="Roboto" w:cs="Arial"/>
          <w:color w:val="000000"/>
          <w:sz w:val="20"/>
          <w:szCs w:val="20"/>
          <w:shd w:val="clear" w:color="auto" w:fill="FFFFFF"/>
        </w:rPr>
        <w:t>Ahumada Cota</w:t>
      </w:r>
      <w:r>
        <w:rPr>
          <w:rFonts w:ascii="Roboto" w:hAnsi="Roboto" w:cs="Arial"/>
          <w:color w:val="000000"/>
          <w:sz w:val="20"/>
          <w:szCs w:val="20"/>
          <w:shd w:val="clear" w:color="auto" w:fill="FFFFFF"/>
        </w:rPr>
        <w:t>,</w:t>
      </w:r>
      <w:r w:rsidRPr="001B037E">
        <w:rPr>
          <w:rFonts w:ascii="Roboto" w:hAnsi="Roboto" w:cs="Arial"/>
          <w:color w:val="000000"/>
          <w:sz w:val="20"/>
          <w:szCs w:val="20"/>
          <w:shd w:val="clear" w:color="auto" w:fill="FFFFFF"/>
        </w:rPr>
        <w:t xml:space="preserve"> R</w:t>
      </w:r>
      <w:r>
        <w:rPr>
          <w:rFonts w:ascii="Roboto" w:hAnsi="Roboto" w:cs="Arial"/>
          <w:color w:val="000000"/>
          <w:sz w:val="20"/>
          <w:szCs w:val="20"/>
          <w:shd w:val="clear" w:color="auto" w:fill="FFFFFF"/>
        </w:rPr>
        <w:t>.</w:t>
      </w:r>
      <w:r w:rsidRPr="001B037E">
        <w:rPr>
          <w:rFonts w:ascii="Roboto" w:hAnsi="Roboto" w:cs="Arial"/>
          <w:color w:val="000000"/>
          <w:sz w:val="20"/>
          <w:szCs w:val="20"/>
          <w:shd w:val="clear" w:color="auto" w:fill="FFFFFF"/>
        </w:rPr>
        <w:t>E</w:t>
      </w:r>
      <w:r>
        <w:rPr>
          <w:rFonts w:ascii="Roboto" w:hAnsi="Roboto" w:cs="Arial"/>
          <w:color w:val="000000"/>
          <w:sz w:val="20"/>
          <w:szCs w:val="20"/>
          <w:shd w:val="clear" w:color="auto" w:fill="FFFFFF"/>
        </w:rPr>
        <w:t>.</w:t>
      </w:r>
      <w:r w:rsidRPr="001B037E">
        <w:rPr>
          <w:rFonts w:ascii="Roboto" w:hAnsi="Roboto" w:cs="Arial"/>
          <w:color w:val="000000"/>
          <w:sz w:val="20"/>
          <w:szCs w:val="20"/>
          <w:shd w:val="clear" w:color="auto" w:fill="FFFFFF"/>
        </w:rPr>
        <w:t>, Olalde Ramírez</w:t>
      </w:r>
      <w:r>
        <w:rPr>
          <w:rFonts w:ascii="Roboto" w:hAnsi="Roboto" w:cs="Arial"/>
          <w:color w:val="000000"/>
          <w:sz w:val="20"/>
          <w:szCs w:val="20"/>
          <w:shd w:val="clear" w:color="auto" w:fill="FFFFFF"/>
        </w:rPr>
        <w:t>,</w:t>
      </w:r>
      <w:r w:rsidRPr="001B037E">
        <w:rPr>
          <w:rFonts w:ascii="Roboto" w:hAnsi="Roboto" w:cs="Arial"/>
          <w:color w:val="000000"/>
          <w:sz w:val="20"/>
          <w:szCs w:val="20"/>
          <w:shd w:val="clear" w:color="auto" w:fill="FFFFFF"/>
        </w:rPr>
        <w:t xml:space="preserve"> S</w:t>
      </w:r>
      <w:r>
        <w:rPr>
          <w:rFonts w:ascii="Roboto" w:hAnsi="Roboto" w:cs="Arial"/>
          <w:color w:val="000000"/>
          <w:sz w:val="20"/>
          <w:szCs w:val="20"/>
          <w:shd w:val="clear" w:color="auto" w:fill="FFFFFF"/>
        </w:rPr>
        <w:t>.</w:t>
      </w:r>
      <w:r w:rsidRPr="001B037E">
        <w:rPr>
          <w:rFonts w:ascii="Roboto" w:hAnsi="Roboto" w:cs="Arial"/>
          <w:color w:val="000000"/>
          <w:sz w:val="20"/>
          <w:szCs w:val="20"/>
          <w:shd w:val="clear" w:color="auto" w:fill="FFFFFF"/>
        </w:rPr>
        <w:t>, Hernández Chiñas</w:t>
      </w:r>
      <w:r>
        <w:rPr>
          <w:rFonts w:ascii="Roboto" w:hAnsi="Roboto" w:cs="Arial"/>
          <w:color w:val="000000"/>
          <w:sz w:val="20"/>
          <w:szCs w:val="20"/>
          <w:shd w:val="clear" w:color="auto" w:fill="FFFFFF"/>
        </w:rPr>
        <w:t>,</w:t>
      </w:r>
      <w:r w:rsidRPr="001B037E">
        <w:rPr>
          <w:rFonts w:ascii="Roboto" w:hAnsi="Roboto" w:cs="Arial"/>
          <w:color w:val="000000"/>
          <w:sz w:val="20"/>
          <w:szCs w:val="20"/>
          <w:shd w:val="clear" w:color="auto" w:fill="FFFFFF"/>
        </w:rPr>
        <w:t xml:space="preserve"> U</w:t>
      </w:r>
      <w:r>
        <w:rPr>
          <w:rFonts w:ascii="Roboto" w:hAnsi="Roboto" w:cs="Arial"/>
          <w:color w:val="000000"/>
          <w:sz w:val="20"/>
          <w:szCs w:val="20"/>
          <w:shd w:val="clear" w:color="auto" w:fill="FFFFFF"/>
        </w:rPr>
        <w:t>.</w:t>
      </w:r>
      <w:r w:rsidRPr="001B037E">
        <w:rPr>
          <w:rFonts w:ascii="Roboto" w:hAnsi="Roboto" w:cs="Arial"/>
          <w:color w:val="000000"/>
          <w:sz w:val="20"/>
          <w:szCs w:val="20"/>
          <w:shd w:val="clear" w:color="auto" w:fill="FFFFFF"/>
        </w:rPr>
        <w:t>, Acevedo Monroy</w:t>
      </w:r>
      <w:r>
        <w:rPr>
          <w:rFonts w:ascii="Roboto" w:hAnsi="Roboto" w:cs="Arial"/>
          <w:color w:val="000000"/>
          <w:sz w:val="20"/>
          <w:szCs w:val="20"/>
          <w:shd w:val="clear" w:color="auto" w:fill="FFFFFF"/>
        </w:rPr>
        <w:t>,</w:t>
      </w:r>
      <w:r w:rsidRPr="001B037E">
        <w:rPr>
          <w:rFonts w:ascii="Roboto" w:hAnsi="Roboto" w:cs="Arial"/>
          <w:color w:val="000000"/>
          <w:sz w:val="20"/>
          <w:szCs w:val="20"/>
          <w:shd w:val="clear" w:color="auto" w:fill="FFFFFF"/>
        </w:rPr>
        <w:t xml:space="preserve"> S</w:t>
      </w:r>
      <w:r>
        <w:rPr>
          <w:rFonts w:ascii="Roboto" w:hAnsi="Roboto" w:cs="Arial"/>
          <w:color w:val="000000"/>
          <w:sz w:val="20"/>
          <w:szCs w:val="20"/>
          <w:shd w:val="clear" w:color="auto" w:fill="FFFFFF"/>
        </w:rPr>
        <w:t>.</w:t>
      </w:r>
      <w:r w:rsidRPr="001B037E">
        <w:rPr>
          <w:rFonts w:ascii="Roboto" w:hAnsi="Roboto" w:cs="Arial"/>
          <w:color w:val="000000"/>
          <w:sz w:val="20"/>
          <w:szCs w:val="20"/>
          <w:shd w:val="clear" w:color="auto" w:fill="FFFFFF"/>
        </w:rPr>
        <w:t>E</w:t>
      </w:r>
      <w:r>
        <w:rPr>
          <w:rFonts w:ascii="Roboto" w:hAnsi="Roboto" w:cs="Arial"/>
          <w:color w:val="000000"/>
          <w:sz w:val="20"/>
          <w:szCs w:val="20"/>
          <w:shd w:val="clear" w:color="auto" w:fill="FFFFFF"/>
        </w:rPr>
        <w:t>.</w:t>
      </w:r>
      <w:r w:rsidRPr="001B037E">
        <w:rPr>
          <w:rFonts w:ascii="Roboto" w:hAnsi="Roboto" w:cs="Arial"/>
          <w:color w:val="000000"/>
          <w:sz w:val="20"/>
          <w:szCs w:val="20"/>
          <w:shd w:val="clear" w:color="auto" w:fill="FFFFFF"/>
        </w:rPr>
        <w:t>, Eslava Campos</w:t>
      </w:r>
      <w:r>
        <w:rPr>
          <w:rFonts w:ascii="Roboto" w:hAnsi="Roboto" w:cs="Arial"/>
          <w:color w:val="000000"/>
          <w:sz w:val="20"/>
          <w:szCs w:val="20"/>
          <w:shd w:val="clear" w:color="auto" w:fill="FFFFFF"/>
        </w:rPr>
        <w:t>,</w:t>
      </w:r>
      <w:r w:rsidRPr="001B037E">
        <w:rPr>
          <w:rFonts w:ascii="Roboto" w:hAnsi="Roboto" w:cs="Arial"/>
          <w:color w:val="000000"/>
          <w:sz w:val="20"/>
          <w:szCs w:val="20"/>
          <w:shd w:val="clear" w:color="auto" w:fill="FFFFFF"/>
        </w:rPr>
        <w:t xml:space="preserve"> C</w:t>
      </w:r>
      <w:r>
        <w:rPr>
          <w:rFonts w:ascii="Roboto" w:hAnsi="Roboto" w:cs="Arial"/>
          <w:color w:val="000000"/>
          <w:sz w:val="20"/>
          <w:szCs w:val="20"/>
          <w:shd w:val="clear" w:color="auto" w:fill="FFFFFF"/>
        </w:rPr>
        <w:t>.</w:t>
      </w:r>
      <w:r w:rsidRPr="001B037E">
        <w:rPr>
          <w:rFonts w:ascii="Roboto" w:hAnsi="Roboto" w:cs="Arial"/>
          <w:color w:val="000000"/>
          <w:sz w:val="20"/>
          <w:szCs w:val="20"/>
          <w:shd w:val="clear" w:color="auto" w:fill="FFFFFF"/>
        </w:rPr>
        <w:t>A.</w:t>
      </w:r>
      <w:r>
        <w:rPr>
          <w:rFonts w:ascii="Roboto" w:hAnsi="Roboto" w:cs="Arial"/>
          <w:color w:val="000000"/>
          <w:sz w:val="20"/>
          <w:szCs w:val="20"/>
          <w:shd w:val="clear" w:color="auto" w:fill="FFFFFF"/>
        </w:rPr>
        <w:t xml:space="preserve"> (2022) </w:t>
      </w:r>
      <w:r w:rsidRPr="001B037E">
        <w:rPr>
          <w:rFonts w:ascii="Roboto" w:hAnsi="Roboto" w:cs="Arial"/>
          <w:color w:val="000000"/>
          <w:sz w:val="20"/>
          <w:szCs w:val="20"/>
          <w:shd w:val="clear" w:color="auto" w:fill="FFFFFF"/>
        </w:rPr>
        <w:t xml:space="preserve">Infecciones del tracto urinario en México, un problema de salud pública. </w:t>
      </w:r>
      <w:r w:rsidRPr="001B037E">
        <w:rPr>
          <w:rFonts w:ascii="Roboto" w:hAnsi="Roboto" w:cs="Arial"/>
          <w:color w:val="000000"/>
          <w:sz w:val="20"/>
          <w:szCs w:val="20"/>
          <w:shd w:val="clear" w:color="auto" w:fill="FFFFFF"/>
          <w:lang w:val="en-US"/>
        </w:rPr>
        <w:t xml:space="preserve">[Internet]. </w:t>
      </w:r>
      <w:hyperlink r:id="rId11" w:history="1">
        <w:r w:rsidRPr="001B037E">
          <w:rPr>
            <w:rStyle w:val="Hipervnculo"/>
            <w:rFonts w:ascii="Roboto" w:hAnsi="Roboto" w:cs="Arial"/>
            <w:sz w:val="20"/>
            <w:szCs w:val="20"/>
            <w:shd w:val="clear" w:color="auto" w:fill="FFFFFF"/>
            <w:lang w:val="en-US"/>
          </w:rPr>
          <w:t>https://hdl.handle.net/11191/9630</w:t>
        </w:r>
      </w:hyperlink>
    </w:p>
    <w:p w14:paraId="1EFE60EA" w14:textId="1DF01411" w:rsidR="001B037E" w:rsidRPr="001B037E" w:rsidRDefault="001B037E" w:rsidP="001B037E">
      <w:pPr>
        <w:pStyle w:val="NormalWeb"/>
        <w:spacing w:before="0" w:beforeAutospacing="0" w:after="0" w:afterAutospacing="0"/>
        <w:jc w:val="both"/>
        <w:rPr>
          <w:rFonts w:ascii="Roboto" w:hAnsi="Roboto"/>
          <w:color w:val="000000"/>
          <w:sz w:val="20"/>
          <w:szCs w:val="20"/>
          <w:lang w:val="en-US"/>
        </w:rPr>
      </w:pPr>
      <w:r w:rsidRPr="001B037E">
        <w:rPr>
          <w:rFonts w:ascii="Roboto" w:hAnsi="Roboto" w:cs="Arial"/>
          <w:color w:val="000000"/>
          <w:sz w:val="20"/>
          <w:szCs w:val="20"/>
          <w:lang w:val="en-US"/>
        </w:rPr>
        <w:t>Thompson</w:t>
      </w:r>
      <w:r>
        <w:rPr>
          <w:rFonts w:ascii="Roboto" w:hAnsi="Roboto" w:cs="Arial"/>
          <w:color w:val="000000"/>
          <w:sz w:val="20"/>
          <w:szCs w:val="20"/>
          <w:lang w:val="en-US"/>
        </w:rPr>
        <w:t>,</w:t>
      </w:r>
      <w:r w:rsidRPr="001B037E">
        <w:rPr>
          <w:rFonts w:ascii="Roboto" w:hAnsi="Roboto" w:cs="Arial"/>
          <w:color w:val="000000"/>
          <w:sz w:val="20"/>
          <w:szCs w:val="20"/>
          <w:lang w:val="en-US"/>
        </w:rPr>
        <w:t xml:space="preserve"> D</w:t>
      </w:r>
      <w:r>
        <w:rPr>
          <w:rFonts w:ascii="Roboto" w:hAnsi="Roboto" w:cs="Arial"/>
          <w:color w:val="000000"/>
          <w:sz w:val="20"/>
          <w:szCs w:val="20"/>
          <w:lang w:val="en-US"/>
        </w:rPr>
        <w:t>.</w:t>
      </w:r>
      <w:r w:rsidRPr="001B037E">
        <w:rPr>
          <w:rFonts w:ascii="Roboto" w:hAnsi="Roboto" w:cs="Arial"/>
          <w:color w:val="000000"/>
          <w:sz w:val="20"/>
          <w:szCs w:val="20"/>
          <w:lang w:val="en-US"/>
        </w:rPr>
        <w:t>, Xu</w:t>
      </w:r>
      <w:r>
        <w:rPr>
          <w:rFonts w:ascii="Roboto" w:hAnsi="Roboto" w:cs="Arial"/>
          <w:color w:val="000000"/>
          <w:sz w:val="20"/>
          <w:szCs w:val="20"/>
          <w:lang w:val="en-US"/>
        </w:rPr>
        <w:t>,</w:t>
      </w:r>
      <w:r w:rsidRPr="001B037E">
        <w:rPr>
          <w:rFonts w:ascii="Roboto" w:hAnsi="Roboto" w:cs="Arial"/>
          <w:color w:val="000000"/>
          <w:sz w:val="20"/>
          <w:szCs w:val="20"/>
          <w:lang w:val="en-US"/>
        </w:rPr>
        <w:t xml:space="preserve"> J</w:t>
      </w:r>
      <w:r>
        <w:rPr>
          <w:rFonts w:ascii="Roboto" w:hAnsi="Roboto" w:cs="Arial"/>
          <w:color w:val="000000"/>
          <w:sz w:val="20"/>
          <w:szCs w:val="20"/>
          <w:lang w:val="en-US"/>
        </w:rPr>
        <w:t>.</w:t>
      </w:r>
      <w:r w:rsidRPr="001B037E">
        <w:rPr>
          <w:rFonts w:ascii="Roboto" w:hAnsi="Roboto" w:cs="Arial"/>
          <w:color w:val="000000"/>
          <w:sz w:val="20"/>
          <w:szCs w:val="20"/>
          <w:lang w:val="en-US"/>
        </w:rPr>
        <w:t>, Ischia</w:t>
      </w:r>
      <w:r>
        <w:rPr>
          <w:rFonts w:ascii="Roboto" w:hAnsi="Roboto" w:cs="Arial"/>
          <w:color w:val="000000"/>
          <w:sz w:val="20"/>
          <w:szCs w:val="20"/>
          <w:lang w:val="en-US"/>
        </w:rPr>
        <w:t>,</w:t>
      </w:r>
      <w:r w:rsidRPr="001B037E">
        <w:rPr>
          <w:rFonts w:ascii="Roboto" w:hAnsi="Roboto" w:cs="Arial"/>
          <w:color w:val="000000"/>
          <w:sz w:val="20"/>
          <w:szCs w:val="20"/>
          <w:lang w:val="en-US"/>
        </w:rPr>
        <w:t xml:space="preserve"> J</w:t>
      </w:r>
      <w:r>
        <w:rPr>
          <w:rFonts w:ascii="Roboto" w:hAnsi="Roboto" w:cs="Arial"/>
          <w:color w:val="000000"/>
          <w:sz w:val="20"/>
          <w:szCs w:val="20"/>
          <w:lang w:val="en-US"/>
        </w:rPr>
        <w:t>.</w:t>
      </w:r>
      <w:r w:rsidRPr="001B037E">
        <w:rPr>
          <w:rFonts w:ascii="Roboto" w:hAnsi="Roboto" w:cs="Arial"/>
          <w:color w:val="000000"/>
          <w:sz w:val="20"/>
          <w:szCs w:val="20"/>
          <w:lang w:val="en-US"/>
        </w:rPr>
        <w:t>, Bolton</w:t>
      </w:r>
      <w:r>
        <w:rPr>
          <w:rFonts w:ascii="Roboto" w:hAnsi="Roboto" w:cs="Arial"/>
          <w:color w:val="000000"/>
          <w:sz w:val="20"/>
          <w:szCs w:val="20"/>
          <w:lang w:val="en-US"/>
        </w:rPr>
        <w:t>,</w:t>
      </w:r>
      <w:r w:rsidRPr="001B037E">
        <w:rPr>
          <w:rFonts w:ascii="Roboto" w:hAnsi="Roboto" w:cs="Arial"/>
          <w:color w:val="000000"/>
          <w:sz w:val="20"/>
          <w:szCs w:val="20"/>
          <w:lang w:val="en-US"/>
        </w:rPr>
        <w:t xml:space="preserve"> D.</w:t>
      </w:r>
      <w:r>
        <w:rPr>
          <w:rFonts w:ascii="Roboto" w:hAnsi="Roboto" w:cs="Arial"/>
          <w:color w:val="000000"/>
          <w:sz w:val="20"/>
          <w:szCs w:val="20"/>
          <w:lang w:val="en-US"/>
        </w:rPr>
        <w:t xml:space="preserve"> (2024)</w:t>
      </w:r>
      <w:r w:rsidRPr="001B037E">
        <w:rPr>
          <w:rFonts w:ascii="Roboto" w:hAnsi="Roboto" w:cs="Arial"/>
          <w:color w:val="000000"/>
          <w:sz w:val="20"/>
          <w:szCs w:val="20"/>
          <w:lang w:val="en-US"/>
        </w:rPr>
        <w:t xml:space="preserve"> Fluoroquinolone resistance in urinary tract infections: Epidemiology, mechanisms of action and management strategies. BJUI Compass. (1):5–11.</w:t>
      </w:r>
    </w:p>
    <w:p w14:paraId="63265B41" w14:textId="5F53700C" w:rsidR="001B037E" w:rsidRPr="001B037E" w:rsidRDefault="001B037E" w:rsidP="001B037E">
      <w:pPr>
        <w:pStyle w:val="NormalWeb"/>
        <w:spacing w:before="0" w:beforeAutospacing="0" w:after="0" w:afterAutospacing="0"/>
        <w:jc w:val="both"/>
        <w:rPr>
          <w:rFonts w:ascii="Roboto" w:hAnsi="Roboto"/>
          <w:color w:val="000000"/>
          <w:sz w:val="20"/>
          <w:szCs w:val="20"/>
          <w:lang w:val="en-US"/>
        </w:rPr>
      </w:pPr>
      <w:r w:rsidRPr="001B037E">
        <w:rPr>
          <w:rFonts w:ascii="Roboto" w:hAnsi="Roboto" w:cs="Arial"/>
          <w:color w:val="000000"/>
          <w:sz w:val="20"/>
          <w:szCs w:val="20"/>
          <w:lang w:val="en-US"/>
        </w:rPr>
        <w:t>GBD 2021 Antimicrobial Resistance Collaborators. (2024). Global burden of bacterial antimicrobial resistance 1990-2021: a systematic analysis with forecasts to 2050. Lancet, 404(10459), 1199–1226. https://doi.org/10.1016/S0140-6736(24)01867-1</w:t>
      </w:r>
    </w:p>
    <w:p w14:paraId="2B1EAA65" w14:textId="4B8E3045" w:rsidR="001B037E" w:rsidRPr="001B037E" w:rsidRDefault="001B037E" w:rsidP="001B037E">
      <w:pPr>
        <w:jc w:val="both"/>
        <w:rPr>
          <w:rFonts w:ascii="Roboto" w:eastAsia="Roboto" w:hAnsi="Roboto" w:cs="Roboto"/>
          <w:sz w:val="20"/>
          <w:szCs w:val="20"/>
          <w:lang w:val="en-US"/>
        </w:rPr>
      </w:pPr>
      <w:r w:rsidRPr="001B037E">
        <w:rPr>
          <w:rFonts w:ascii="Roboto" w:hAnsi="Roboto" w:cs="Arial"/>
          <w:color w:val="000000"/>
          <w:sz w:val="20"/>
          <w:szCs w:val="20"/>
          <w:shd w:val="clear" w:color="auto" w:fill="FFFFFF"/>
          <w:lang w:val="en-US"/>
        </w:rPr>
        <w:t>Amabile-Cuevas</w:t>
      </w:r>
      <w:r>
        <w:rPr>
          <w:rFonts w:ascii="Roboto" w:hAnsi="Roboto" w:cs="Arial"/>
          <w:color w:val="000000"/>
          <w:sz w:val="20"/>
          <w:szCs w:val="20"/>
          <w:shd w:val="clear" w:color="auto" w:fill="FFFFFF"/>
          <w:lang w:val="en-US"/>
        </w:rPr>
        <w:t>,</w:t>
      </w:r>
      <w:r w:rsidRPr="001B037E">
        <w:rPr>
          <w:rFonts w:ascii="Roboto" w:hAnsi="Roboto" w:cs="Arial"/>
          <w:color w:val="000000"/>
          <w:sz w:val="20"/>
          <w:szCs w:val="20"/>
          <w:shd w:val="clear" w:color="auto" w:fill="FFFFFF"/>
          <w:lang w:val="en-US"/>
        </w:rPr>
        <w:t xml:space="preserve"> C</w:t>
      </w:r>
      <w:r>
        <w:rPr>
          <w:rFonts w:ascii="Roboto" w:hAnsi="Roboto" w:cs="Arial"/>
          <w:color w:val="000000"/>
          <w:sz w:val="20"/>
          <w:szCs w:val="20"/>
          <w:shd w:val="clear" w:color="auto" w:fill="FFFFFF"/>
          <w:lang w:val="en-US"/>
        </w:rPr>
        <w:t>.</w:t>
      </w:r>
      <w:r w:rsidRPr="001B037E">
        <w:rPr>
          <w:rFonts w:ascii="Roboto" w:hAnsi="Roboto" w:cs="Arial"/>
          <w:color w:val="000000"/>
          <w:sz w:val="20"/>
          <w:szCs w:val="20"/>
          <w:shd w:val="clear" w:color="auto" w:fill="FFFFFF"/>
          <w:lang w:val="en-US"/>
        </w:rPr>
        <w:t xml:space="preserve">F. Antibiotic usage and resistance in Mexico: an update after a decade of change. J Infect Dev </w:t>
      </w:r>
      <w:proofErr w:type="spellStart"/>
      <w:r w:rsidRPr="001B037E">
        <w:rPr>
          <w:rFonts w:ascii="Roboto" w:hAnsi="Roboto" w:cs="Arial"/>
          <w:color w:val="000000"/>
          <w:sz w:val="20"/>
          <w:szCs w:val="20"/>
          <w:shd w:val="clear" w:color="auto" w:fill="FFFFFF"/>
          <w:lang w:val="en-US"/>
        </w:rPr>
        <w:t>Ctries</w:t>
      </w:r>
      <w:proofErr w:type="spellEnd"/>
      <w:r w:rsidRPr="001B037E">
        <w:rPr>
          <w:rFonts w:ascii="Roboto" w:hAnsi="Roboto" w:cs="Arial"/>
          <w:color w:val="000000"/>
          <w:sz w:val="20"/>
          <w:szCs w:val="20"/>
          <w:shd w:val="clear" w:color="auto" w:fill="FFFFFF"/>
          <w:lang w:val="en-US"/>
        </w:rPr>
        <w:t xml:space="preserve"> </w:t>
      </w:r>
      <w:r>
        <w:rPr>
          <w:rFonts w:ascii="Roboto" w:hAnsi="Roboto" w:cs="Arial"/>
          <w:color w:val="000000"/>
          <w:sz w:val="20"/>
          <w:szCs w:val="20"/>
          <w:shd w:val="clear" w:color="auto" w:fill="FFFFFF"/>
          <w:lang w:val="en-US"/>
        </w:rPr>
        <w:t>(2021)</w:t>
      </w:r>
      <w:r w:rsidRPr="001B037E">
        <w:rPr>
          <w:rFonts w:ascii="Roboto" w:hAnsi="Roboto" w:cs="Arial"/>
          <w:color w:val="000000"/>
          <w:sz w:val="20"/>
          <w:szCs w:val="20"/>
          <w:shd w:val="clear" w:color="auto" w:fill="FFFFFF"/>
          <w:lang w:val="en-US"/>
        </w:rPr>
        <w:t xml:space="preserve">. 2021;15(4):442–9. </w:t>
      </w:r>
      <w:hyperlink r:id="rId12" w:history="1">
        <w:r w:rsidRPr="001B037E">
          <w:rPr>
            <w:rStyle w:val="Hipervnculo"/>
            <w:rFonts w:ascii="Roboto" w:hAnsi="Roboto" w:cs="Arial"/>
            <w:sz w:val="20"/>
            <w:szCs w:val="20"/>
            <w:shd w:val="clear" w:color="auto" w:fill="FFFFFF"/>
            <w:lang w:val="en-US"/>
          </w:rPr>
          <w:t>http://dx.doi.org/10.3855/jidc.13467</w:t>
        </w:r>
      </w:hyperlink>
    </w:p>
    <w:sectPr w:rsidR="001B037E" w:rsidRPr="001B037E">
      <w:type w:val="continuous"/>
      <w:pgSz w:w="11906" w:h="16838"/>
      <w:pgMar w:top="1134" w:right="851" w:bottom="1134" w:left="851" w:header="357" w:footer="720" w:gutter="0"/>
      <w:cols w:num="2" w:space="720" w:equalWidth="0">
        <w:col w:w="4934" w:space="335"/>
        <w:col w:w="4934" w:space="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4DB24C" w14:textId="77777777" w:rsidR="002F0A6A" w:rsidRDefault="002F0A6A">
      <w:r>
        <w:separator/>
      </w:r>
    </w:p>
  </w:endnote>
  <w:endnote w:type="continuationSeparator" w:id="0">
    <w:p w14:paraId="5B1A104D" w14:textId="77777777" w:rsidR="002F0A6A" w:rsidRDefault="002F0A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88149D" w14:textId="77777777" w:rsidR="002F0A6A" w:rsidRDefault="002F0A6A">
      <w:r>
        <w:separator/>
      </w:r>
    </w:p>
  </w:footnote>
  <w:footnote w:type="continuationSeparator" w:id="0">
    <w:p w14:paraId="7E80B6BA" w14:textId="77777777" w:rsidR="002F0A6A" w:rsidRDefault="002F0A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F0B572" w14:textId="77777777" w:rsidR="00696719" w:rsidRDefault="00696719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Roboto" w:eastAsia="Roboto" w:hAnsi="Roboto" w:cs="Roboto"/>
      </w:rPr>
    </w:pPr>
  </w:p>
  <w:tbl>
    <w:tblPr>
      <w:tblStyle w:val="a2"/>
      <w:tblW w:w="6306" w:type="dxa"/>
      <w:jc w:val="center"/>
      <w:tblInd w:w="0" w:type="dxa"/>
      <w:tblLayout w:type="fixed"/>
      <w:tblLook w:val="0400" w:firstRow="0" w:lastRow="0" w:firstColumn="0" w:lastColumn="0" w:noHBand="0" w:noVBand="1"/>
    </w:tblPr>
    <w:tblGrid>
      <w:gridCol w:w="6306"/>
    </w:tblGrid>
    <w:tr w:rsidR="00696719" w14:paraId="5D21410A" w14:textId="77777777">
      <w:trPr>
        <w:trHeight w:val="345"/>
        <w:jc w:val="center"/>
      </w:trPr>
      <w:tc>
        <w:tcPr>
          <w:tcW w:w="6306" w:type="dxa"/>
          <w:vAlign w:val="center"/>
        </w:tcPr>
        <w:p w14:paraId="596D9CB2" w14:textId="77777777" w:rsidR="00696719" w:rsidRDefault="00696719">
          <w:pPr>
            <w:jc w:val="center"/>
            <w:rPr>
              <w:i/>
              <w:sz w:val="18"/>
              <w:szCs w:val="18"/>
            </w:rPr>
          </w:pPr>
        </w:p>
      </w:tc>
    </w:tr>
  </w:tbl>
  <w:p w14:paraId="5FC8F772" w14:textId="77777777" w:rsidR="00696719" w:rsidRDefault="00696719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rFonts w:ascii="Calibri" w:eastAsia="Calibri" w:hAnsi="Calibri" w:cs="Calibri"/>
        <w:color w:val="000000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7D272CB"/>
    <w:multiLevelType w:val="multilevel"/>
    <w:tmpl w:val="5858A7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6719"/>
    <w:rsid w:val="001B037E"/>
    <w:rsid w:val="001D3DE8"/>
    <w:rsid w:val="002F0A6A"/>
    <w:rsid w:val="00620310"/>
    <w:rsid w:val="00696719"/>
    <w:rsid w:val="0076099C"/>
    <w:rsid w:val="009C6B02"/>
    <w:rsid w:val="00C43D1A"/>
    <w:rsid w:val="00EA5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5B2647"/>
  <w15:docId w15:val="{25A6E857-D1B9-4CC6-94DC-8BF48C4AF7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es-MX" w:eastAsia="es-MX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5625FC"/>
    <w:pPr>
      <w:tabs>
        <w:tab w:val="center" w:pos="4320"/>
        <w:tab w:val="right" w:pos="8640"/>
      </w:tabs>
    </w:pPr>
    <w:rPr>
      <w:rFonts w:asciiTheme="minorHAnsi" w:eastAsiaTheme="minorHAnsi" w:hAnsiTheme="minorHAnsi" w:cstheme="minorBidi"/>
      <w:sz w:val="22"/>
      <w:szCs w:val="22"/>
      <w:lang w:val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5625FC"/>
    <w:rPr>
      <w:lang w:val="en-US"/>
    </w:rPr>
  </w:style>
  <w:style w:type="paragraph" w:customStyle="1" w:styleId="AUTHORSNAMES">
    <w:name w:val="AUTHORS NAMES"/>
    <w:basedOn w:val="Normal"/>
    <w:qFormat/>
    <w:rsid w:val="005625FC"/>
    <w:pPr>
      <w:spacing w:before="120" w:after="120" w:line="240" w:lineRule="atLeast"/>
    </w:pPr>
    <w:rPr>
      <w:b/>
      <w:sz w:val="22"/>
      <w:szCs w:val="20"/>
    </w:rPr>
  </w:style>
  <w:style w:type="paragraph" w:customStyle="1" w:styleId="AFFILIATIONS">
    <w:name w:val="AFFILIATIONS"/>
    <w:basedOn w:val="Normal"/>
    <w:qFormat/>
    <w:rsid w:val="005625FC"/>
    <w:pPr>
      <w:spacing w:line="240" w:lineRule="atLeast"/>
    </w:pPr>
    <w:rPr>
      <w:sz w:val="18"/>
      <w:szCs w:val="20"/>
      <w:vertAlign w:val="superscript"/>
      <w:lang w:val="en-US"/>
    </w:rPr>
  </w:style>
  <w:style w:type="paragraph" w:styleId="Textocomentario">
    <w:name w:val="annotation text"/>
    <w:basedOn w:val="Normal"/>
    <w:link w:val="TextocomentarioCar"/>
    <w:rsid w:val="005625FC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5625FC"/>
    <w:rPr>
      <w:rFonts w:ascii="Times New Roman" w:eastAsia="Times New Roman" w:hAnsi="Times New Roman" w:cs="Times New Roman"/>
      <w:sz w:val="20"/>
      <w:szCs w:val="20"/>
      <w:lang w:val="tr-TR" w:eastAsia="tr-TR"/>
    </w:rPr>
  </w:style>
  <w:style w:type="character" w:styleId="Hipervnculo">
    <w:name w:val="Hyperlink"/>
    <w:basedOn w:val="Fuentedeprrafopredeter"/>
    <w:uiPriority w:val="99"/>
    <w:unhideWhenUsed/>
    <w:rsid w:val="005625FC"/>
    <w:rPr>
      <w:color w:val="0563C1" w:themeColor="hyperlink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B12BB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12BB3"/>
    <w:rPr>
      <w:rFonts w:ascii="Times New Roman" w:eastAsia="Times New Roman" w:hAnsi="Times New Roman" w:cs="Times New Roman"/>
      <w:sz w:val="24"/>
      <w:szCs w:val="24"/>
      <w:lang w:val="tr-TR" w:eastAsia="tr-TR"/>
    </w:rPr>
  </w:style>
  <w:style w:type="character" w:styleId="Mencinsinresolver">
    <w:name w:val="Unresolved Mention"/>
    <w:basedOn w:val="Fuentedeprrafopredeter"/>
    <w:uiPriority w:val="99"/>
    <w:semiHidden/>
    <w:unhideWhenUsed/>
    <w:rsid w:val="00AC5917"/>
    <w:rPr>
      <w:color w:val="605E5C"/>
      <w:shd w:val="clear" w:color="auto" w:fill="E1DFDD"/>
    </w:rPr>
  </w:style>
  <w:style w:type="table" w:customStyle="1" w:styleId="a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1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character" w:styleId="Textoennegrita">
    <w:name w:val="Strong"/>
    <w:basedOn w:val="Fuentedeprrafopredeter"/>
    <w:uiPriority w:val="22"/>
    <w:qFormat/>
    <w:rsid w:val="0076099C"/>
    <w:rPr>
      <w:b/>
      <w:bCs/>
    </w:rPr>
  </w:style>
  <w:style w:type="paragraph" w:customStyle="1" w:styleId="ds-markdown-paragraph">
    <w:name w:val="ds-markdown-paragraph"/>
    <w:basedOn w:val="Normal"/>
    <w:rsid w:val="001D3DE8"/>
    <w:pPr>
      <w:spacing w:before="100" w:beforeAutospacing="1" w:after="100" w:afterAutospacing="1"/>
    </w:pPr>
  </w:style>
  <w:style w:type="character" w:styleId="nfasis">
    <w:name w:val="Emphasis"/>
    <w:basedOn w:val="Fuentedeprrafopredeter"/>
    <w:uiPriority w:val="20"/>
    <w:qFormat/>
    <w:rsid w:val="001D3DE8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9C6B02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703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60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61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7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google.com/url?q=http://dx.doi.org/10.3855/jidc.13467&amp;sa=D&amp;source=editors&amp;ust=1765214921531512&amp;usg=AOvVaw1B4fCM--N_SMfbxT_4XWlR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hdl.handle.net/11191/9630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clinicalkey.com/#!/content/journal/1-s2.0-S027092952300178X" TargetMode="External"/><Relationship Id="rId4" Type="http://schemas.openxmlformats.org/officeDocument/2006/relationships/settings" Target="settings.xml"/><Relationship Id="rId9" Type="http://schemas.openxmlformats.org/officeDocument/2006/relationships/chart" Target="charts/chart1.xml"/><Relationship Id="rId14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Libro1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1913-472E-A341-8F119801E8E2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1913-472E-A341-8F119801E8E2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1913-472E-A341-8F119801E8E2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7-1913-472E-A341-8F119801E8E2}"/>
              </c:ext>
            </c:extLst>
          </c:dPt>
          <c:cat>
            <c:strRef>
              <c:f>Hoja1!$A$1:$A$4</c:f>
              <c:strCache>
                <c:ptCount val="4"/>
                <c:pt idx="0">
                  <c:v>Ciprofloxacino</c:v>
                </c:pt>
                <c:pt idx="1">
                  <c:v>Amoxicilina</c:v>
                </c:pt>
                <c:pt idx="2">
                  <c:v>TMP/SMX</c:v>
                </c:pt>
                <c:pt idx="3">
                  <c:v>Otro</c:v>
                </c:pt>
              </c:strCache>
            </c:strRef>
          </c:cat>
          <c:val>
            <c:numRef>
              <c:f>Hoja1!$B$1:$B$4</c:f>
              <c:numCache>
                <c:formatCode>0%</c:formatCode>
                <c:ptCount val="4"/>
                <c:pt idx="0">
                  <c:v>0.5</c:v>
                </c:pt>
                <c:pt idx="1">
                  <c:v>0.22</c:v>
                </c:pt>
                <c:pt idx="2">
                  <c:v>0.08</c:v>
                </c:pt>
                <c:pt idx="3">
                  <c:v>0.2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1913-472E-A341-8F119801E8E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MX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MX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ljXbelLgG65gZF2QnhxRlAtOTng==">CgMxLjA4AHIhMVVnbmZxNjZHV2Z0N2NLeFRUSEl4WjFxMVQ0MkVYSkYx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1222</Words>
  <Characters>6723</Characters>
  <Application>Microsoft Office Word</Application>
  <DocSecurity>0</DocSecurity>
  <Lines>56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Mariana Berenice González Leija</dc:creator>
  <cp:lastModifiedBy>Elena Soto Vega</cp:lastModifiedBy>
  <cp:revision>2</cp:revision>
  <dcterms:created xsi:type="dcterms:W3CDTF">2025-12-08T17:53:00Z</dcterms:created>
  <dcterms:modified xsi:type="dcterms:W3CDTF">2025-12-08T17:53:00Z</dcterms:modified>
</cp:coreProperties>
</file>