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124EC2" w14:textId="2911FD9A" w:rsidR="00544E77" w:rsidRPr="00BD1445" w:rsidRDefault="00544E77" w:rsidP="00544E77">
      <w:pPr>
        <w:pStyle w:val="Ttulo2"/>
        <w:jc w:val="center"/>
        <w:rPr>
          <w:rFonts w:ascii="Roboto" w:eastAsia="Roboto" w:hAnsi="Roboto" w:cs="Roboto"/>
          <w:bCs/>
          <w:color w:val="000000"/>
          <w:sz w:val="24"/>
          <w:szCs w:val="24"/>
        </w:rPr>
      </w:pPr>
      <w:r w:rsidRPr="00BD1445">
        <w:rPr>
          <w:rFonts w:ascii="Roboto" w:eastAsia="Roboto" w:hAnsi="Roboto" w:cs="Roboto"/>
          <w:bCs/>
          <w:color w:val="000000"/>
          <w:sz w:val="24"/>
          <w:szCs w:val="24"/>
        </w:rPr>
        <w:t>Publicidad, objetos de higiene y diseño como herramientas de modernización social</w:t>
      </w:r>
      <w:r w:rsidR="00BD1445">
        <w:rPr>
          <w:rFonts w:ascii="Roboto" w:eastAsia="Roboto" w:hAnsi="Roboto" w:cs="Roboto"/>
          <w:bCs/>
          <w:color w:val="000000"/>
          <w:sz w:val="24"/>
          <w:szCs w:val="24"/>
        </w:rPr>
        <w:t xml:space="preserve"> en el México posrevolucionario</w:t>
      </w:r>
    </w:p>
    <w:p w14:paraId="1D3B7519" w14:textId="0B4778EE" w:rsidR="003A1BBE" w:rsidRDefault="00BD1445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Magaña Fajardo Carolina</w:t>
      </w: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</w:p>
    <w:p w14:paraId="0D07F0B7" w14:textId="604FE248" w:rsidR="003A1BBE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BD1445" w:rsidRPr="00BD1445">
        <w:t xml:space="preserve"> </w:t>
      </w:r>
      <w:r w:rsidR="00BD1445" w:rsidRPr="00BD1445">
        <w:rPr>
          <w:rFonts w:ascii="Roboto" w:eastAsia="Roboto" w:hAnsi="Roboto" w:cs="Roboto"/>
          <w:color w:val="000000"/>
          <w:sz w:val="18"/>
          <w:szCs w:val="18"/>
        </w:rPr>
        <w:t xml:space="preserve">Universidad Anáhuac México, </w:t>
      </w:r>
      <w:r w:rsidR="00BD1445" w:rsidRPr="00BD1445">
        <w:rPr>
          <w:rFonts w:ascii="Roboto" w:eastAsia="Roboto" w:hAnsi="Roboto" w:cs="Roboto"/>
          <w:color w:val="000000"/>
          <w:sz w:val="18"/>
          <w:szCs w:val="18"/>
        </w:rPr>
        <w:t>orcid.org/0000-0003-0245-8528</w:t>
      </w:r>
      <w:r w:rsidR="00BD1445" w:rsidRPr="00BD1445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</w:p>
    <w:p w14:paraId="1420A34F" w14:textId="286426A6" w:rsidR="003A1BBE" w:rsidRDefault="00000000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</w:t>
      </w:r>
      <w:r w:rsidR="00BD1445">
        <w:rPr>
          <w:rFonts w:ascii="Roboto" w:eastAsia="Roboto" w:hAnsi="Roboto" w:cs="Roboto"/>
          <w:sz w:val="18"/>
          <w:szCs w:val="18"/>
        </w:rPr>
        <w:t>carolina.maganaf@anahuac.mx</w:t>
      </w:r>
    </w:p>
    <w:p w14:paraId="4325CDB0" w14:textId="77777777" w:rsidR="003A1BBE" w:rsidRDefault="00987237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3A1BBE">
          <w:headerReference w:type="default" r:id="rId8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rPr>
          <w:noProof/>
        </w:rPr>
        <w:pict w14:anchorId="1BCFFD8D">
          <v:rect id="_x0000_i1025" alt="" style="width:441.9pt;height:.05pt;mso-width-percent:0;mso-height-percent:0;mso-width-percent:0;mso-height-percent:0" o:hralign="center" o:hrstd="t" o:hr="t" fillcolor="#a0a0a0" stroked="f"/>
        </w:pict>
      </w:r>
    </w:p>
    <w:p w14:paraId="1C50B76D" w14:textId="6A5BBAAE" w:rsidR="003A1BBE" w:rsidRDefault="008C4218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RESUMEN</w:t>
      </w:r>
    </w:p>
    <w:p w14:paraId="5C464E7C" w14:textId="0CF58923" w:rsidR="00DA6396" w:rsidRPr="00DA6396" w:rsidRDefault="00DA6396" w:rsidP="00DA639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A6396">
        <w:rPr>
          <w:rFonts w:ascii="Roboto" w:eastAsia="Roboto" w:hAnsi="Roboto" w:cs="Roboto"/>
          <w:color w:val="000000"/>
          <w:sz w:val="20"/>
          <w:szCs w:val="20"/>
        </w:rPr>
        <w:t>En el México posrevolucionario entre los años de 1920 a 1940, la higiene se consolidó como uno de los ejes más visibles del proyecto de modernización. Más allá de las políticas sanitarias, la publicidad, los objetos de cuidado personal y el diseño se convirtieron en vehículos fundamentales para difundir valores asociados al progreso, el orden y la salud pública. En este contexto, las mujeres desempeñaron un papel central como mediadoras culturales: maestras, enfermeras visitadoras</w:t>
      </w:r>
      <w:r w:rsidR="00694FA5">
        <w:rPr>
          <w:rFonts w:ascii="Roboto" w:eastAsia="Roboto" w:hAnsi="Roboto" w:cs="Roboto"/>
          <w:color w:val="000000"/>
          <w:sz w:val="20"/>
          <w:szCs w:val="20"/>
        </w:rPr>
        <w:t xml:space="preserve"> (Agostini, 2002)</w:t>
      </w:r>
      <w:r w:rsidRPr="00DA6396">
        <w:rPr>
          <w:rFonts w:ascii="Roboto" w:eastAsia="Roboto" w:hAnsi="Roboto" w:cs="Roboto"/>
          <w:color w:val="000000"/>
          <w:sz w:val="20"/>
          <w:szCs w:val="20"/>
        </w:rPr>
        <w:t xml:space="preserve">, trabajadoras sociales y madres de familia, se situaron en el cruce entre discurso médico, prácticas domésticas y construcción simbólica de la nación. </w:t>
      </w:r>
    </w:p>
    <w:p w14:paraId="2FA82841" w14:textId="77777777" w:rsidR="00DA6396" w:rsidRPr="00DA6396" w:rsidRDefault="00DA6396" w:rsidP="00DA639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A6396">
        <w:rPr>
          <w:rFonts w:ascii="Roboto" w:eastAsia="Roboto" w:hAnsi="Roboto" w:cs="Roboto"/>
          <w:color w:val="000000"/>
          <w:sz w:val="20"/>
          <w:szCs w:val="20"/>
        </w:rPr>
        <w:t>El objetivo de este trabajo es analizar cómo los productos de higiene y el diseño publicitario promovieron nuevas formas de vida cotidiana vinculadas con la modernidad, y de qué manera las mujeres participaron activamente en la circulación y adaptación de estos discursos. La pregunta central de investigación se enfoca en comprender ¿cómo los modelos higienistas internacionales fueron traducidos al contexto mexicano a través de la arquitectura, el diseño interior, la publicidad, los objetos y las prácticas domésticas?</w:t>
      </w:r>
    </w:p>
    <w:p w14:paraId="1FB47B58" w14:textId="55B14151" w:rsidR="003A1BBE" w:rsidRPr="00DA6396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FF0000"/>
          <w:sz w:val="20"/>
          <w:szCs w:val="20"/>
          <w:u w:val="single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</w:p>
    <w:p w14:paraId="35787D0B" w14:textId="43FB621B" w:rsidR="003A1BBE" w:rsidRDefault="00DA639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 w:rsidRPr="00DA6396">
        <w:rPr>
          <w:rFonts w:ascii="Roboto" w:eastAsia="Roboto" w:hAnsi="Roboto" w:cs="Roboto"/>
          <w:color w:val="000000"/>
          <w:sz w:val="20"/>
          <w:szCs w:val="20"/>
        </w:rPr>
        <w:t>El análisis se apoya en un enfoque cualitativo e histórico-interpretativo. Se examinan fuentes hemerográficas como revistas como Revista de Revistas, periódicos como El Universal Ilustrado y curaduría del Museo del Objeto del Objeto, MODO. El estudio considera tanto la materialidad de los productos como sus mensajes gráficos y narrativos, atendiendo a la forma en que transmitieron hábitos y valores higiénicos. Esta aproximación incorpora una perspectiva de género que permite observar la asignación de responsabilidades a las mujeres como guardianas del hogar y promotoras de la salud familiar</w:t>
      </w:r>
    </w:p>
    <w:p w14:paraId="6A61CF6F" w14:textId="77777777" w:rsidR="003A1BBE" w:rsidRDefault="003A1BB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126FD976" w14:textId="77777777" w:rsidR="00DA6396" w:rsidRDefault="00DA6396" w:rsidP="00DA639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A6396">
        <w:rPr>
          <w:rFonts w:ascii="Roboto" w:eastAsia="Roboto" w:hAnsi="Roboto" w:cs="Roboto"/>
          <w:color w:val="000000"/>
          <w:sz w:val="20"/>
          <w:szCs w:val="20"/>
        </w:rPr>
        <w:t>Desde este marco, la modernidad mexicana, el higienismo y la eugenesia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(Stern, 1960)</w:t>
      </w:r>
      <w:r w:rsidRPr="00DA6396">
        <w:rPr>
          <w:rFonts w:ascii="Roboto" w:eastAsia="Roboto" w:hAnsi="Roboto" w:cs="Roboto"/>
          <w:color w:val="000000"/>
          <w:sz w:val="20"/>
          <w:szCs w:val="20"/>
        </w:rPr>
        <w:t xml:space="preserve"> aparecen como proyectos culturales que vincularon ciencia, moral y nación. La arquitectura y la publicidad no operaron únicamente como estrategia comercial, sino que funcionaron como pedagogía visual dirigida a una población en gran parte analfabeta, democratizando la noción de higiene como deber individual y cívico. </w:t>
      </w:r>
    </w:p>
    <w:p w14:paraId="3DABF957" w14:textId="73476D37" w:rsidR="00DA6396" w:rsidRDefault="00DA6396" w:rsidP="00DA639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A6396">
        <w:rPr>
          <w:rFonts w:ascii="Roboto" w:eastAsia="Roboto" w:hAnsi="Roboto" w:cs="Roboto"/>
          <w:color w:val="000000"/>
          <w:sz w:val="20"/>
          <w:szCs w:val="20"/>
        </w:rPr>
        <w:t xml:space="preserve">Anuncios que van desde de cómo vivir mejor, cómo decorar la vivienda, hasta el uso de jabones, dentífricos y cosméticos asociaban limpieza con bienestar, belleza, estatus y felicidad familiar, reforzando ideales de orden y progreso. Según </w:t>
      </w:r>
      <w:r>
        <w:rPr>
          <w:rFonts w:ascii="Roboto" w:eastAsia="Roboto" w:hAnsi="Roboto" w:cs="Roboto"/>
          <w:color w:val="000000"/>
          <w:sz w:val="20"/>
          <w:szCs w:val="20"/>
        </w:rPr>
        <w:t>Aréchiga</w:t>
      </w:r>
      <w:r w:rsidRPr="00DA6396">
        <w:rPr>
          <w:rFonts w:ascii="Roboto" w:eastAsia="Roboto" w:hAnsi="Roboto" w:cs="Roboto"/>
          <w:color w:val="000000"/>
          <w:sz w:val="20"/>
          <w:szCs w:val="20"/>
        </w:rPr>
        <w:t xml:space="preserve"> (200</w:t>
      </w:r>
      <w:r>
        <w:rPr>
          <w:rFonts w:ascii="Roboto" w:eastAsia="Roboto" w:hAnsi="Roboto" w:cs="Roboto"/>
          <w:color w:val="000000"/>
          <w:sz w:val="20"/>
          <w:szCs w:val="20"/>
        </w:rPr>
        <w:t>7</w:t>
      </w:r>
      <w:r w:rsidRPr="00DA6396">
        <w:rPr>
          <w:rFonts w:ascii="Roboto" w:eastAsia="Roboto" w:hAnsi="Roboto" w:cs="Roboto"/>
          <w:color w:val="000000"/>
          <w:sz w:val="20"/>
          <w:szCs w:val="20"/>
        </w:rPr>
        <w:t xml:space="preserve">), aseguraba que durante los sexenios de Ortiz Rubio y Rodríguez, la </w:t>
      </w:r>
      <w:r w:rsidRPr="00DA6396">
        <w:rPr>
          <w:rFonts w:ascii="Roboto" w:eastAsia="Roboto" w:hAnsi="Roboto" w:cs="Roboto"/>
          <w:color w:val="000000"/>
          <w:sz w:val="20"/>
          <w:szCs w:val="20"/>
        </w:rPr>
        <w:t>higiene fue promovida como "la base de la economía nacional". Este enfoque reflejaba una visión en la que la salud pública se consideraba fundamental para el progreso económico y social del país.</w:t>
      </w:r>
      <w:r w:rsidR="00131998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DA6396">
        <w:rPr>
          <w:rFonts w:ascii="Roboto" w:eastAsia="Roboto" w:hAnsi="Roboto" w:cs="Roboto"/>
          <w:color w:val="000000"/>
          <w:sz w:val="20"/>
          <w:szCs w:val="20"/>
        </w:rPr>
        <w:t>La prensa, el cine educativo, el teatro guiñol y las exposiciones sanitarias en museos funcionaron como mediador</w:t>
      </w:r>
      <w:r>
        <w:rPr>
          <w:rFonts w:ascii="Roboto" w:eastAsia="Roboto" w:hAnsi="Roboto" w:cs="Roboto"/>
          <w:color w:val="000000"/>
          <w:sz w:val="20"/>
          <w:szCs w:val="20"/>
        </w:rPr>
        <w:t>es</w:t>
      </w:r>
      <w:r w:rsidRPr="00DA6396">
        <w:rPr>
          <w:rFonts w:ascii="Roboto" w:eastAsia="Roboto" w:hAnsi="Roboto" w:cs="Roboto"/>
          <w:color w:val="000000"/>
          <w:sz w:val="20"/>
          <w:szCs w:val="20"/>
        </w:rPr>
        <w:t xml:space="preserve">  entre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el </w:t>
      </w:r>
      <w:r w:rsidRPr="00DA6396">
        <w:rPr>
          <w:rFonts w:ascii="Roboto" w:eastAsia="Roboto" w:hAnsi="Roboto" w:cs="Roboto"/>
          <w:color w:val="000000"/>
          <w:sz w:val="20"/>
          <w:szCs w:val="20"/>
        </w:rPr>
        <w:t xml:space="preserve">conocimiento científico y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las </w:t>
      </w:r>
      <w:r w:rsidRPr="00DA6396">
        <w:rPr>
          <w:rFonts w:ascii="Roboto" w:eastAsia="Roboto" w:hAnsi="Roboto" w:cs="Roboto"/>
          <w:color w:val="000000"/>
          <w:sz w:val="20"/>
          <w:szCs w:val="20"/>
        </w:rPr>
        <w:t>prácticas cotidianas, reforzando la idea de que la higiene era no solo una práctica privada, sino una contribución al bienestar colectivo..</w:t>
      </w:r>
    </w:p>
    <w:p w14:paraId="040621F7" w14:textId="640AA104" w:rsidR="00DA6396" w:rsidRDefault="0074440A" w:rsidP="00DA639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b/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3C0AD130" wp14:editId="5C07722B">
            <wp:simplePos x="0" y="0"/>
            <wp:positionH relativeFrom="column">
              <wp:posOffset>467833</wp:posOffset>
            </wp:positionH>
            <wp:positionV relativeFrom="paragraph">
              <wp:posOffset>1092392</wp:posOffset>
            </wp:positionV>
            <wp:extent cx="1687032" cy="2392512"/>
            <wp:effectExtent l="0" t="0" r="2540" b="0"/>
            <wp:wrapTopAndBottom/>
            <wp:docPr id="60430886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308861" name="Imagen 604308861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7032" cy="23925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A6396" w:rsidRPr="00DA6396">
        <w:rPr>
          <w:rFonts w:ascii="Roboto" w:eastAsia="Roboto" w:hAnsi="Roboto" w:cs="Roboto"/>
          <w:color w:val="000000"/>
          <w:sz w:val="20"/>
          <w:szCs w:val="20"/>
        </w:rPr>
        <w:t xml:space="preserve">Fue así que el diseño publicitario de cómo habitar y </w:t>
      </w:r>
      <w:r w:rsidR="00DA6396">
        <w:rPr>
          <w:rFonts w:ascii="Roboto" w:eastAsia="Roboto" w:hAnsi="Roboto" w:cs="Roboto"/>
          <w:color w:val="000000"/>
          <w:sz w:val="20"/>
          <w:szCs w:val="20"/>
        </w:rPr>
        <w:t xml:space="preserve">cómo usar </w:t>
      </w:r>
      <w:r w:rsidR="00DA6396" w:rsidRPr="00DA6396">
        <w:rPr>
          <w:rFonts w:ascii="Roboto" w:eastAsia="Roboto" w:hAnsi="Roboto" w:cs="Roboto"/>
          <w:color w:val="000000"/>
          <w:sz w:val="20"/>
          <w:szCs w:val="20"/>
        </w:rPr>
        <w:t>los productos de higiene personal fueron herramientas clave en los procesos de modernización y democratización social en este periodo, actuando como un puente entre la educación y el consumo, y contribuyendo a la construcción de una sociedad más saludable, moderna y cohesionada.</w:t>
      </w:r>
    </w:p>
    <w:p w14:paraId="15A6EDCA" w14:textId="3E11B40F" w:rsidR="003A1BBE" w:rsidRDefault="00000000" w:rsidP="00DA639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</w:p>
    <w:p w14:paraId="0FF76ADD" w14:textId="29A7091B" w:rsidR="00DA6396" w:rsidRDefault="00000000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Figura 1</w:t>
      </w:r>
      <w:r>
        <w:rPr>
          <w:rFonts w:ascii="Roboto" w:eastAsia="Roboto" w:hAnsi="Roboto" w:cs="Roboto"/>
          <w:sz w:val="20"/>
          <w:szCs w:val="20"/>
        </w:rPr>
        <w:t xml:space="preserve">. </w:t>
      </w:r>
      <w:r w:rsidR="0074440A">
        <w:rPr>
          <w:rFonts w:ascii="Roboto" w:eastAsia="Roboto" w:hAnsi="Roboto" w:cs="Roboto"/>
          <w:sz w:val="20"/>
          <w:szCs w:val="20"/>
        </w:rPr>
        <w:t>Publicidad de La crema Simón. Fuente. El Universal Ilustrado, 29 de noviembre, 1925.</w:t>
      </w:r>
    </w:p>
    <w:p w14:paraId="45860488" w14:textId="77777777" w:rsidR="008C4218" w:rsidRDefault="008C4218">
      <w:pPr>
        <w:jc w:val="both"/>
        <w:rPr>
          <w:rFonts w:ascii="Roboto" w:eastAsia="Roboto" w:hAnsi="Roboto" w:cs="Roboto"/>
          <w:sz w:val="20"/>
          <w:szCs w:val="20"/>
        </w:rPr>
      </w:pPr>
    </w:p>
    <w:p w14:paraId="6AAFD7AF" w14:textId="77777777" w:rsidR="008C4218" w:rsidRDefault="008C4218">
      <w:pPr>
        <w:jc w:val="both"/>
        <w:rPr>
          <w:rFonts w:ascii="Roboto" w:eastAsia="Roboto" w:hAnsi="Roboto" w:cs="Roboto"/>
          <w:sz w:val="20"/>
          <w:szCs w:val="20"/>
        </w:rPr>
      </w:pPr>
    </w:p>
    <w:p w14:paraId="67FA133D" w14:textId="77777777" w:rsidR="008C4218" w:rsidRDefault="008C4218">
      <w:pPr>
        <w:jc w:val="both"/>
        <w:rPr>
          <w:rFonts w:ascii="Roboto" w:eastAsia="Roboto" w:hAnsi="Roboto" w:cs="Roboto"/>
          <w:sz w:val="20"/>
          <w:szCs w:val="20"/>
        </w:rPr>
      </w:pPr>
    </w:p>
    <w:p w14:paraId="26BEFB6E" w14:textId="77777777" w:rsidR="008C4218" w:rsidRDefault="008C4218">
      <w:pPr>
        <w:jc w:val="both"/>
        <w:rPr>
          <w:rFonts w:ascii="Roboto" w:eastAsia="Roboto" w:hAnsi="Roboto" w:cs="Roboto"/>
          <w:sz w:val="20"/>
          <w:szCs w:val="20"/>
        </w:rPr>
      </w:pPr>
    </w:p>
    <w:p w14:paraId="7F8B3FF4" w14:textId="77777777" w:rsidR="008C4218" w:rsidRDefault="008C4218">
      <w:pPr>
        <w:jc w:val="both"/>
        <w:rPr>
          <w:rFonts w:ascii="Roboto" w:eastAsia="Roboto" w:hAnsi="Roboto" w:cs="Roboto"/>
          <w:sz w:val="20"/>
          <w:szCs w:val="20"/>
        </w:rPr>
      </w:pPr>
    </w:p>
    <w:p w14:paraId="6C5477FB" w14:textId="2746770E" w:rsidR="00694FA5" w:rsidRDefault="00000000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 xml:space="preserve">REFERENCIAS </w:t>
      </w:r>
    </w:p>
    <w:p w14:paraId="6D2F572A" w14:textId="173E218E" w:rsidR="003A1BBE" w:rsidRPr="00F76D52" w:rsidRDefault="00694FA5" w:rsidP="00F76D52">
      <w:pPr>
        <w:rPr>
          <w:rFonts w:ascii="Roboto" w:eastAsia="Roboto" w:hAnsi="Roboto" w:cs="Roboto"/>
          <w:sz w:val="20"/>
          <w:szCs w:val="20"/>
        </w:rPr>
      </w:pPr>
      <w:r w:rsidRPr="00694FA5">
        <w:rPr>
          <w:rFonts w:ascii="Roboto" w:eastAsia="Roboto" w:hAnsi="Roboto" w:cs="Roboto"/>
          <w:sz w:val="20"/>
          <w:szCs w:val="20"/>
        </w:rPr>
        <w:t>Agostini,</w:t>
      </w:r>
      <w:r w:rsidRPr="00694FA5">
        <w:rPr>
          <w:rFonts w:ascii="Roboto" w:eastAsia="Roboto" w:hAnsi="Roboto" w:cs="Roboto"/>
          <w:sz w:val="20"/>
          <w:szCs w:val="20"/>
        </w:rPr>
        <w:t xml:space="preserve"> </w:t>
      </w:r>
      <w:r w:rsidRPr="00694FA5">
        <w:rPr>
          <w:rFonts w:ascii="Roboto" w:eastAsia="Roboto" w:hAnsi="Roboto" w:cs="Roboto"/>
          <w:sz w:val="20"/>
          <w:szCs w:val="20"/>
        </w:rPr>
        <w:t xml:space="preserve">Agostini, C. (2002). Discurso médico, cultura higiénica y la mujer en la Ciudad de México al cambio de siglo (XIX–XX). Mexican Studies/Estudios Mexicanos, 18(1), 1–22. </w:t>
      </w:r>
      <w:hyperlink r:id="rId10" w:tgtFrame="_new" w:history="1">
        <w:r w:rsidRPr="00694FA5">
          <w:rPr>
            <w:rFonts w:ascii="Roboto" w:eastAsia="Roboto" w:hAnsi="Roboto" w:cs="Roboto"/>
            <w:sz w:val="20"/>
            <w:szCs w:val="20"/>
          </w:rPr>
          <w:t>ht</w:t>
        </w:r>
        <w:r w:rsidRPr="00694FA5">
          <w:rPr>
            <w:rFonts w:ascii="Roboto" w:eastAsia="Roboto" w:hAnsi="Roboto" w:cs="Roboto"/>
            <w:sz w:val="20"/>
            <w:szCs w:val="20"/>
          </w:rPr>
          <w:t>t</w:t>
        </w:r>
        <w:r w:rsidRPr="00694FA5">
          <w:rPr>
            <w:rFonts w:ascii="Roboto" w:eastAsia="Roboto" w:hAnsi="Roboto" w:cs="Roboto"/>
            <w:sz w:val="20"/>
            <w:szCs w:val="20"/>
          </w:rPr>
          <w:t>ps://doi.org/10.1525/msem.2002.18.1.1</w:t>
        </w:r>
      </w:hyperlink>
      <w:r w:rsidRPr="00694FA5">
        <w:rPr>
          <w:rFonts w:ascii="Roboto" w:eastAsia="Roboto" w:hAnsi="Roboto" w:cs="Roboto"/>
          <w:sz w:val="20"/>
          <w:szCs w:val="20"/>
        </w:rPr>
        <w:t xml:space="preserve">Aréchiga Córdoba, E. (2007). Estrategias discursivas de higiene y salubridad públicas en el México posrevolucionario, 1917–1945. Estudios de Historia Moderna y Contemporánea de México, 33, 57–88. </w:t>
      </w:r>
      <w:hyperlink r:id="rId11" w:tgtFrame="_new" w:history="1">
        <w:r w:rsidRPr="00694FA5">
          <w:rPr>
            <w:rFonts w:ascii="Roboto" w:eastAsia="Roboto" w:hAnsi="Roboto" w:cs="Roboto"/>
            <w:sz w:val="20"/>
            <w:szCs w:val="20"/>
          </w:rPr>
          <w:t>http://www.scielo.org.mx/scielo.php?script=sci_arttext&amp;pid=S0185-26202007000100057</w:t>
        </w:r>
      </w:hyperlink>
    </w:p>
    <w:sectPr w:rsidR="003A1BBE" w:rsidRPr="00F76D52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6FB19A" w14:textId="77777777" w:rsidR="00987237" w:rsidRDefault="00987237">
      <w:r>
        <w:separator/>
      </w:r>
    </w:p>
  </w:endnote>
  <w:endnote w:type="continuationSeparator" w:id="0">
    <w:p w14:paraId="76C24E54" w14:textId="77777777" w:rsidR="00987237" w:rsidRDefault="009872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1" w:fontKey="{E37BAAD6-E8A6-CF4B-97F0-99480F4B324E}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584E2C12-7419-FB46-A515-3BBD1489409C}"/>
    <w:embedBold r:id="rId3" w:fontKey="{0DC24D62-53F6-7D44-88CC-A4766A5F9AEA}"/>
    <w:embedItalic r:id="rId4" w:fontKey="{77C2A393-FA8A-BA44-8035-6E07D237E5C1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5" w:fontKey="{86048DDC-BA4C-C94B-B96F-88B49B10531D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6" w:fontKey="{515CE591-11C8-3746-BDAB-162E78DBCB08}"/>
    <w:embedItalic r:id="rId7" w:fontKey="{A03E7446-C760-AB4E-9A13-57B8274E4E7B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8" w:fontKey="{14D275AD-9B67-EF48-8FEA-BA71433164FD}"/>
    <w:embedBold r:id="rId9" w:fontKey="{9C7B7CF3-444F-7441-9490-14B5F63CC53D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10" w:fontKey="{D43E3102-D2FF-2A47-AB9F-94AE8FA8A648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43B02F" w14:textId="77777777" w:rsidR="00987237" w:rsidRDefault="00987237">
      <w:r>
        <w:separator/>
      </w:r>
    </w:p>
  </w:footnote>
  <w:footnote w:type="continuationSeparator" w:id="0">
    <w:p w14:paraId="31F73179" w14:textId="77777777" w:rsidR="00987237" w:rsidRDefault="009872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D0B13" w14:textId="77777777" w:rsidR="003A1BBE" w:rsidRDefault="003A1BB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3A1BBE" w14:paraId="564163CC" w14:textId="77777777">
      <w:trPr>
        <w:trHeight w:val="345"/>
        <w:jc w:val="center"/>
      </w:trPr>
      <w:tc>
        <w:tcPr>
          <w:tcW w:w="6306" w:type="dxa"/>
          <w:vAlign w:val="center"/>
        </w:tcPr>
        <w:p w14:paraId="639E9830" w14:textId="77777777" w:rsidR="003A1BBE" w:rsidRDefault="003A1BBE">
          <w:pPr>
            <w:jc w:val="center"/>
            <w:rPr>
              <w:i/>
              <w:sz w:val="18"/>
              <w:szCs w:val="18"/>
            </w:rPr>
          </w:pPr>
        </w:p>
      </w:tc>
    </w:tr>
  </w:tbl>
  <w:p w14:paraId="259E6B58" w14:textId="77777777" w:rsidR="003A1BBE" w:rsidRDefault="003A1BBE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BC68D1"/>
    <w:multiLevelType w:val="multilevel"/>
    <w:tmpl w:val="B19E7A6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5529277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BBE"/>
    <w:rsid w:val="00131998"/>
    <w:rsid w:val="003A1BBE"/>
    <w:rsid w:val="00544E77"/>
    <w:rsid w:val="0063370D"/>
    <w:rsid w:val="00694FA5"/>
    <w:rsid w:val="0074440A"/>
    <w:rsid w:val="00753CF0"/>
    <w:rsid w:val="008C4218"/>
    <w:rsid w:val="00987237"/>
    <w:rsid w:val="00BD1445"/>
    <w:rsid w:val="00CE592D"/>
    <w:rsid w:val="00D24D76"/>
    <w:rsid w:val="00DA6396"/>
    <w:rsid w:val="00F7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B1156A"/>
  <w15:docId w15:val="{42D35F08-1C89-D444-9991-2AE7B973E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94FA5"/>
    <w:pPr>
      <w:spacing w:before="100" w:beforeAutospacing="1" w:after="100" w:afterAutospacing="1"/>
    </w:pPr>
  </w:style>
  <w:style w:type="character" w:styleId="nfasis">
    <w:name w:val="Emphasis"/>
    <w:basedOn w:val="Fuentedeprrafopredeter"/>
    <w:uiPriority w:val="20"/>
    <w:qFormat/>
    <w:rsid w:val="00694F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cielo.org.mx/scielo.php?script=sci_arttext&amp;pid=S0185-26202007000100057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doi.org/10.1525/msem.2002.18.1.1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698</Words>
  <Characters>3667</Characters>
  <Application>Microsoft Office Word</Application>
  <DocSecurity>0</DocSecurity>
  <Lines>203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Carolina Magaña Fajardo</cp:lastModifiedBy>
  <cp:revision>9</cp:revision>
  <dcterms:created xsi:type="dcterms:W3CDTF">2025-12-30T21:29:00Z</dcterms:created>
  <dcterms:modified xsi:type="dcterms:W3CDTF">2026-01-02T19:47:00Z</dcterms:modified>
</cp:coreProperties>
</file>