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4C6350" w14:textId="0E06DD22" w:rsidR="00F53E53" w:rsidRDefault="00000000">
      <w:pPr>
        <w:spacing w:after="729"/>
        <w:ind w:left="687" w:firstLine="0"/>
        <w:jc w:val="left"/>
      </w:pPr>
      <w:r>
        <w:rPr>
          <w:i/>
        </w:rPr>
        <w:t xml:space="preserve">Abstract ID: </w:t>
      </w:r>
      <w:r w:rsidR="00AA2F3D">
        <w:rPr>
          <w:i/>
        </w:rPr>
        <w:t>71</w:t>
      </w:r>
      <w:r>
        <w:rPr>
          <w:i/>
        </w:rPr>
        <w:t xml:space="preserve"> </w:t>
      </w:r>
    </w:p>
    <w:p w14:paraId="329EE11F" w14:textId="77777777" w:rsidR="00AA2F3D" w:rsidRDefault="00AA2F3D" w:rsidP="00AA2F3D">
      <w:pPr>
        <w:spacing w:after="0"/>
        <w:ind w:left="436" w:firstLine="0"/>
        <w:jc w:val="left"/>
        <w:rPr>
          <w:sz w:val="38"/>
        </w:rPr>
      </w:pPr>
      <w:r w:rsidRPr="00AA2F3D">
        <w:rPr>
          <w:sz w:val="38"/>
        </w:rPr>
        <w:t>Toward Affordable Multispectral Methods for Optical Glucose Detection Using Sugar Solutions and Blood-Like Tissue Phantoms</w:t>
      </w:r>
    </w:p>
    <w:p w14:paraId="53622D74" w14:textId="77777777" w:rsidR="00AA2F3D" w:rsidRDefault="00AA2F3D">
      <w:pPr>
        <w:spacing w:after="0"/>
        <w:ind w:left="436" w:firstLine="429"/>
        <w:jc w:val="left"/>
        <w:rPr>
          <w:sz w:val="38"/>
        </w:rPr>
      </w:pPr>
    </w:p>
    <w:p w14:paraId="50901975" w14:textId="6382A817" w:rsidR="00F53E53" w:rsidRDefault="00000000">
      <w:pPr>
        <w:spacing w:after="0"/>
        <w:ind w:left="436" w:firstLine="429"/>
        <w:jc w:val="left"/>
      </w:pPr>
      <w:r>
        <w:rPr>
          <w:b/>
          <w:sz w:val="24"/>
          <w:szCs w:val="24"/>
        </w:rPr>
        <w:t>Primary author</w:t>
      </w:r>
      <w:r>
        <w:rPr>
          <w:sz w:val="24"/>
          <w:szCs w:val="24"/>
        </w:rPr>
        <w:t xml:space="preserve">: </w:t>
      </w:r>
      <w:r w:rsidR="00F7095E" w:rsidRPr="00D441FF">
        <w:t>D</w:t>
      </w:r>
      <w:r w:rsidR="00F7095E">
        <w:rPr>
          <w:b/>
        </w:rPr>
        <w:t>ipankar Chetia</w:t>
      </w:r>
      <w:r w:rsidR="00F7095E">
        <w:rPr>
          <w:vertAlign w:val="superscript"/>
        </w:rPr>
        <w:t>1*</w:t>
      </w:r>
      <w:r w:rsidR="00F7095E">
        <w:rPr>
          <w:b/>
        </w:rPr>
        <w:t>,</w:t>
      </w:r>
      <w:r w:rsidR="00F7095E">
        <w:rPr>
          <w:b/>
        </w:rPr>
        <w:t xml:space="preserve"> </w:t>
      </w:r>
      <w:r>
        <w:rPr>
          <w:b/>
        </w:rPr>
        <w:t>N</w:t>
      </w:r>
      <w:r w:rsidR="00D441FF">
        <w:rPr>
          <w:b/>
        </w:rPr>
        <w:t>ikunja</w:t>
      </w:r>
      <w:r>
        <w:rPr>
          <w:b/>
        </w:rPr>
        <w:t xml:space="preserve"> </w:t>
      </w:r>
      <w:r w:rsidR="00D441FF">
        <w:rPr>
          <w:b/>
        </w:rPr>
        <w:t>Ranjan Borah</w:t>
      </w:r>
      <w:r>
        <w:rPr>
          <w:vertAlign w:val="superscript"/>
        </w:rPr>
        <w:t>1</w:t>
      </w:r>
    </w:p>
    <w:p w14:paraId="42CC76B1" w14:textId="07F2E36C" w:rsidR="00F53E53" w:rsidRDefault="00000000">
      <w:pPr>
        <w:ind w:left="433" w:firstLine="430"/>
      </w:pPr>
      <w:r>
        <w:rPr>
          <w:b/>
          <w:sz w:val="24"/>
          <w:szCs w:val="24"/>
        </w:rPr>
        <w:t>Presenter</w:t>
      </w:r>
      <w:r>
        <w:rPr>
          <w:sz w:val="24"/>
          <w:szCs w:val="24"/>
        </w:rPr>
        <w:t xml:space="preserve">: </w:t>
      </w:r>
      <w:r w:rsidR="00D441FF">
        <w:t>Dipankar Chetia</w:t>
      </w:r>
      <w:r>
        <w:t>, N</w:t>
      </w:r>
      <w:r w:rsidR="00D441FF">
        <w:t>ikunja Ranjan Borah</w:t>
      </w:r>
      <w:r>
        <w:t xml:space="preserve"> </w:t>
      </w:r>
    </w:p>
    <w:p w14:paraId="38F23FF0" w14:textId="2AAB6AB9" w:rsidR="00F53E53" w:rsidRDefault="00000000">
      <w:pPr>
        <w:spacing w:after="55"/>
        <w:ind w:left="436" w:firstLine="429"/>
        <w:jc w:val="left"/>
      </w:pPr>
      <w:r>
        <w:rPr>
          <w:b/>
        </w:rPr>
        <w:t>Track Classification</w:t>
      </w:r>
      <w:r>
        <w:t>: Track 0</w:t>
      </w:r>
      <w:r w:rsidR="00D441FF">
        <w:t>2</w:t>
      </w:r>
      <w:r>
        <w:t xml:space="preserve"> </w:t>
      </w:r>
    </w:p>
    <w:p w14:paraId="408BB9A5" w14:textId="77777777" w:rsidR="00F53E53" w:rsidRDefault="00000000">
      <w:pPr>
        <w:spacing w:after="39"/>
        <w:ind w:left="438" w:firstLine="0"/>
        <w:jc w:val="left"/>
      </w:pPr>
      <w:r>
        <w:t xml:space="preserve"> </w:t>
      </w:r>
    </w:p>
    <w:p w14:paraId="6AADB6F1" w14:textId="5ECD22D5" w:rsidR="00F53E53" w:rsidRDefault="00000000" w:rsidP="00D441FF">
      <w:pPr>
        <w:spacing w:line="347" w:lineRule="auto"/>
        <w:ind w:left="433" w:right="2763" w:firstLine="430"/>
      </w:pPr>
      <w:r>
        <w:rPr>
          <w:vertAlign w:val="superscript"/>
        </w:rPr>
        <w:t>1</w:t>
      </w:r>
      <w:r>
        <w:t xml:space="preserve"> </w:t>
      </w:r>
      <w:r w:rsidR="00D441FF">
        <w:t>Optoelectronics and Photonics Laboratory</w:t>
      </w:r>
      <w:r>
        <w:t>,</w:t>
      </w:r>
      <w:r w:rsidR="00D441FF">
        <w:t xml:space="preserve"> Department of Physics, North Lakhimpur University</w:t>
      </w:r>
      <w:r>
        <w:t xml:space="preserve"> </w:t>
      </w:r>
    </w:p>
    <w:p w14:paraId="0BF2419C" w14:textId="77777777" w:rsidR="00D441FF" w:rsidRDefault="00D441FF" w:rsidP="00D441FF">
      <w:pPr>
        <w:spacing w:line="347" w:lineRule="auto"/>
        <w:ind w:left="433" w:right="2763" w:firstLine="430"/>
      </w:pPr>
    </w:p>
    <w:p w14:paraId="25503217" w14:textId="0F3DD629" w:rsidR="00F53E53" w:rsidRDefault="00000000">
      <w:pPr>
        <w:spacing w:line="347" w:lineRule="auto"/>
        <w:ind w:left="433" w:right="2763" w:firstLine="430"/>
      </w:pPr>
      <w:r>
        <w:t xml:space="preserve">*Corresponding Author: </w:t>
      </w:r>
      <w:hyperlink r:id="rId7" w:history="1">
        <w:r w:rsidR="00D441FF" w:rsidRPr="004F426F">
          <w:rPr>
            <w:rStyle w:val="Hyperlink"/>
            <w:i/>
            <w:sz w:val="20"/>
            <w:szCs w:val="20"/>
          </w:rPr>
          <w:t>dc@nlc.ac.in</w:t>
        </w:r>
      </w:hyperlink>
      <w:r w:rsidR="00D441FF">
        <w:rPr>
          <w:i/>
          <w:sz w:val="20"/>
          <w:szCs w:val="20"/>
        </w:rPr>
        <w:t xml:space="preserve"> </w:t>
      </w:r>
      <w:r>
        <w:t xml:space="preserve"> </w:t>
      </w:r>
    </w:p>
    <w:p w14:paraId="109E5D79" w14:textId="77777777" w:rsidR="00F53E53" w:rsidRDefault="00000000">
      <w:pPr>
        <w:spacing w:after="128"/>
        <w:ind w:left="557" w:firstLine="0"/>
        <w:jc w:val="center"/>
      </w:pPr>
      <w:r>
        <w:rPr>
          <w:sz w:val="38"/>
          <w:szCs w:val="38"/>
        </w:rPr>
        <w:t xml:space="preserve"> </w:t>
      </w:r>
    </w:p>
    <w:p w14:paraId="6BF6DA0E" w14:textId="77777777" w:rsidR="00AA2F3D" w:rsidRDefault="00000000">
      <w:pPr>
        <w:spacing w:after="0"/>
        <w:ind w:left="242" w:firstLine="438"/>
      </w:pPr>
      <w:r>
        <w:t xml:space="preserve">Abstract: </w:t>
      </w:r>
      <w:r w:rsidR="00AA2F3D">
        <w:t xml:space="preserve">Accurately measuring blood glucose levels without drawing blood remains difficult because glucose has weak optical absorption and biological tissue introduces strong background interference. In this work, we explore whether a compact, low-cost multispectral sensor (SparkFun Triad AS7265x, 410–940 nm) can detect glucose-related optical changes. Sugar solutions ranging from 5–35% w/v were measured at several sensor–sample distances, with an 8 mm spacing yielding the most consistent spectral data. After normalization, Partial Least Squares (PLS) regression produced excellent calibration performance (R² ≈ 1.00; RMSE ≈ 0.10%), demonstrating sensitivity to concentration-dependent changes stemming from scattering and refractive index variations. </w:t>
      </w:r>
    </w:p>
    <w:p w14:paraId="26749884" w14:textId="5C135027" w:rsidR="00F53E53" w:rsidRDefault="00AA2F3D">
      <w:pPr>
        <w:spacing w:after="0"/>
        <w:ind w:left="242" w:firstLine="438"/>
      </w:pPr>
      <w:r>
        <w:t>To better mimic physiological conditions, glucose was added to tissue-like optical phantoms composed of Intralipid and India ink. Preliminary measurements show subtle yet detectable spectral trends in the visible to near-infrared region. Overall, these results suggest that pairing low-cost multispectral sensing with multivariate analysis can provide coarse glucose estimates and represents a promising step toward portable, non-invasive monitoring technologies.</w:t>
      </w:r>
    </w:p>
    <w:p w14:paraId="5797216C" w14:textId="77777777" w:rsidR="00AA2F3D" w:rsidRDefault="00AA2F3D">
      <w:pPr>
        <w:spacing w:after="0"/>
        <w:ind w:left="242" w:firstLine="438"/>
      </w:pPr>
    </w:p>
    <w:p w14:paraId="3C0ED78A" w14:textId="77777777" w:rsidR="00AA2F3D" w:rsidRDefault="00AA2F3D">
      <w:pPr>
        <w:spacing w:after="0"/>
        <w:ind w:left="242" w:firstLine="438"/>
      </w:pPr>
    </w:p>
    <w:p w14:paraId="7689B397" w14:textId="43464B5D" w:rsidR="00AA2F3D" w:rsidRPr="00F7095E" w:rsidRDefault="00AA2F3D">
      <w:pPr>
        <w:spacing w:after="0"/>
        <w:ind w:left="242" w:firstLine="438"/>
        <w:rPr>
          <w:i/>
          <w:iCs/>
        </w:rPr>
      </w:pPr>
      <w:r w:rsidRPr="00AA2F3D">
        <w:rPr>
          <w:i/>
          <w:iCs/>
        </w:rPr>
        <w:t xml:space="preserve">Keywords: </w:t>
      </w:r>
      <w:r w:rsidRPr="00F7095E">
        <w:rPr>
          <w:i/>
          <w:iCs/>
        </w:rPr>
        <w:t>multispectral sensing, glucose detection, optical tissue phantom, PLS regression, non-invasive monitoring</w:t>
      </w:r>
      <w:r w:rsidRPr="00F7095E">
        <w:rPr>
          <w:i/>
          <w:iCs/>
        </w:rPr>
        <w:t xml:space="preserve"> </w:t>
      </w:r>
    </w:p>
    <w:p w14:paraId="78D7705D" w14:textId="77777777" w:rsidR="00C83636" w:rsidRDefault="00C83636">
      <w:pPr>
        <w:spacing w:after="0"/>
        <w:ind w:left="242" w:firstLine="438"/>
      </w:pPr>
    </w:p>
    <w:p w14:paraId="74044ACB" w14:textId="77777777" w:rsidR="00C83636" w:rsidRDefault="00C83636">
      <w:pPr>
        <w:spacing w:after="0"/>
        <w:ind w:left="242" w:firstLine="438"/>
      </w:pPr>
    </w:p>
    <w:p w14:paraId="6149D282" w14:textId="77777777" w:rsidR="00C83636" w:rsidRDefault="00C83636">
      <w:pPr>
        <w:spacing w:after="0"/>
        <w:ind w:left="242" w:firstLine="438"/>
      </w:pPr>
    </w:p>
    <w:p w14:paraId="772B4BBF" w14:textId="77777777" w:rsidR="00F53E53" w:rsidRDefault="00F53E53">
      <w:pPr>
        <w:spacing w:after="0"/>
        <w:ind w:left="242" w:firstLine="438"/>
      </w:pPr>
    </w:p>
    <w:p w14:paraId="0DE94DC8" w14:textId="5F74D9F2" w:rsidR="00F53E53" w:rsidRDefault="00000000">
      <w:pPr>
        <w:tabs>
          <w:tab w:val="center" w:pos="1067"/>
          <w:tab w:val="center" w:pos="1963"/>
          <w:tab w:val="center" w:pos="2391"/>
          <w:tab w:val="center" w:pos="8050"/>
        </w:tabs>
        <w:spacing w:after="0"/>
        <w:ind w:left="0" w:firstLine="0"/>
        <w:jc w:val="left"/>
      </w:pPr>
      <w:r>
        <w:tab/>
      </w:r>
      <w:r>
        <w:rPr>
          <w:rFonts w:ascii="Calibri" w:eastAsia="Calibri" w:hAnsi="Calibri" w:cs="Calibri"/>
        </w:rPr>
        <w:t xml:space="preserve"> </w:t>
      </w:r>
    </w:p>
    <w:sectPr w:rsidR="00F53E53">
      <w:headerReference w:type="default" r:id="rId8"/>
      <w:footerReference w:type="default" r:id="rId9"/>
      <w:pgSz w:w="11900" w:h="16840"/>
      <w:pgMar w:top="1440" w:right="1386" w:bottom="1273" w:left="169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550EC5" w14:textId="77777777" w:rsidR="00872863" w:rsidRDefault="00872863">
      <w:pPr>
        <w:spacing w:after="0" w:line="240" w:lineRule="auto"/>
      </w:pPr>
      <w:r>
        <w:separator/>
      </w:r>
    </w:p>
  </w:endnote>
  <w:endnote w:type="continuationSeparator" w:id="0">
    <w:p w14:paraId="4B85D8D2" w14:textId="77777777" w:rsidR="00872863" w:rsidRDefault="008728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643395" w14:textId="77777777" w:rsidR="00F53E53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</w:pPr>
    <w:r>
      <w:rPr>
        <w:noProof/>
      </w:rPr>
      <w:drawing>
        <wp:anchor distT="0" distB="0" distL="114300" distR="114300" simplePos="0" relativeHeight="251658240" behindDoc="0" locked="0" layoutInCell="1" hidden="0" allowOverlap="1" wp14:anchorId="2010578F" wp14:editId="2DFBC6D7">
          <wp:simplePos x="0" y="0"/>
          <wp:positionH relativeFrom="column">
            <wp:posOffset>1</wp:posOffset>
          </wp:positionH>
          <wp:positionV relativeFrom="paragraph">
            <wp:posOffset>155575</wp:posOffset>
          </wp:positionV>
          <wp:extent cx="712470" cy="280670"/>
          <wp:effectExtent l="0" t="0" r="0" b="0"/>
          <wp:wrapSquare wrapText="bothSides" distT="0" distB="0" distL="114300" distR="114300"/>
          <wp:docPr id="14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12470" cy="2806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DD2E83" w14:textId="77777777" w:rsidR="00872863" w:rsidRDefault="00872863">
      <w:pPr>
        <w:spacing w:after="0" w:line="240" w:lineRule="auto"/>
      </w:pPr>
      <w:r>
        <w:separator/>
      </w:r>
    </w:p>
  </w:footnote>
  <w:footnote w:type="continuationSeparator" w:id="0">
    <w:p w14:paraId="31947D17" w14:textId="77777777" w:rsidR="00872863" w:rsidRDefault="008728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AD2524" w14:textId="77777777" w:rsidR="00F53E53" w:rsidRDefault="00000000">
    <w:pPr>
      <w:spacing w:after="471"/>
      <w:ind w:left="0" w:right="47" w:firstLine="0"/>
      <w:jc w:val="center"/>
    </w:pPr>
    <w:r>
      <w:rPr>
        <w:rFonts w:ascii="Calibri" w:eastAsia="Calibri" w:hAnsi="Calibri" w:cs="Calibri"/>
        <w:sz w:val="20"/>
        <w:szCs w:val="20"/>
      </w:rPr>
      <w:t xml:space="preserve">Symposium on Physics: Advances in Research and Knowledge (SPARK) 2025 </w:t>
    </w:r>
  </w:p>
  <w:p w14:paraId="3876A0B5" w14:textId="77777777" w:rsidR="00F53E53" w:rsidRDefault="00F53E53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3E53"/>
    <w:rsid w:val="00872863"/>
    <w:rsid w:val="008B3302"/>
    <w:rsid w:val="008E561B"/>
    <w:rsid w:val="00AA2F3D"/>
    <w:rsid w:val="00C83636"/>
    <w:rsid w:val="00D441FF"/>
    <w:rsid w:val="00F53E53"/>
    <w:rsid w:val="00F7095E"/>
    <w:rsid w:val="00F974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1267642"/>
  <w15:docId w15:val="{7D5DC606-777F-654D-B992-A96E04E35F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>
      <w:pPr>
        <w:spacing w:after="42" w:line="259" w:lineRule="auto"/>
        <w:ind w:left="440" w:hanging="1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color w:val="000000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spacing w:after="0"/>
      <w:ind w:left="1072"/>
      <w:jc w:val="center"/>
      <w:outlineLvl w:val="0"/>
    </w:pPr>
    <w:rPr>
      <w:color w:val="000000"/>
      <w:sz w:val="3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customStyle="1" w:styleId="Heading1Char">
    <w:name w:val="Heading 1 Char"/>
    <w:link w:val="Heading1"/>
    <w:rPr>
      <w:rFonts w:ascii="Times New Roman" w:eastAsia="Times New Roman" w:hAnsi="Times New Roman" w:cs="Times New Roman"/>
      <w:color w:val="000000"/>
      <w:sz w:val="38"/>
    </w:rPr>
  </w:style>
  <w:style w:type="paragraph" w:styleId="Header">
    <w:name w:val="header"/>
    <w:basedOn w:val="Normal"/>
    <w:link w:val="HeaderChar"/>
    <w:uiPriority w:val="99"/>
    <w:unhideWhenUsed/>
    <w:rsid w:val="006E42A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E42A8"/>
    <w:rPr>
      <w:rFonts w:ascii="Times New Roman" w:eastAsia="Times New Roman" w:hAnsi="Times New Roman" w:cs="Times New Roman"/>
      <w:color w:val="000000"/>
      <w:sz w:val="22"/>
    </w:rPr>
  </w:style>
  <w:style w:type="paragraph" w:styleId="Footer">
    <w:name w:val="footer"/>
    <w:basedOn w:val="Normal"/>
    <w:link w:val="FooterChar"/>
    <w:uiPriority w:val="99"/>
    <w:unhideWhenUsed/>
    <w:rsid w:val="006E42A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E42A8"/>
    <w:rPr>
      <w:rFonts w:ascii="Times New Roman" w:eastAsia="Times New Roman" w:hAnsi="Times New Roman" w:cs="Times New Roman"/>
      <w:color w:val="000000"/>
      <w:sz w:val="2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Hyperlink">
    <w:name w:val="Hyperlink"/>
    <w:basedOn w:val="DefaultParagraphFont"/>
    <w:uiPriority w:val="99"/>
    <w:unhideWhenUsed/>
    <w:rsid w:val="00D441FF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441F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dc@nlc.ac.in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wgVU5xMC2s51rTXKu0MGxilv5qw==">CgMxLjA4AHIhMTFqNWQ0RHp1aVVrZlFiUG1YTHlpajZydlNOUWpWa1pz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269</Words>
  <Characters>1534</Characters>
  <Application>Microsoft Office Word</Application>
  <DocSecurity>0</DocSecurity>
  <Lines>12</Lines>
  <Paragraphs>3</Paragraphs>
  <ScaleCrop>false</ScaleCrop>
  <Company>North Lakhimpur University</Company>
  <LinksUpToDate>false</LinksUpToDate>
  <CharactersWithSpaces>1800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Dipankar Chetia</dc:creator>
  <cp:lastModifiedBy>Dr. Dipankar Chetia</cp:lastModifiedBy>
  <cp:revision>5</cp:revision>
  <dcterms:created xsi:type="dcterms:W3CDTF">2025-03-17T12:45:00Z</dcterms:created>
  <dcterms:modified xsi:type="dcterms:W3CDTF">2025-10-27T14:03:00Z</dcterms:modified>
</cp:coreProperties>
</file>