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F46DD6" w14:textId="77777777" w:rsidR="0098779D" w:rsidRDefault="00000000">
      <w:pPr>
        <w:spacing w:after="729"/>
        <w:ind w:left="687" w:firstLine="0"/>
        <w:jc w:val="left"/>
      </w:pPr>
      <w:bookmarkStart w:id="0" w:name="_hxx6jz7ebs1" w:colFirst="0" w:colLast="0"/>
      <w:bookmarkEnd w:id="0"/>
      <w:r>
        <w:rPr>
          <w:i/>
        </w:rPr>
        <w:t>Abstract ID: {</w:t>
      </w:r>
      <w:r>
        <w:rPr>
          <w:i/>
          <w:highlight w:val="yellow"/>
        </w:rPr>
        <w:t>to be filled by the organizers</w:t>
      </w:r>
      <w:r>
        <w:rPr>
          <w:i/>
        </w:rPr>
        <w:t xml:space="preserve">} </w:t>
      </w:r>
    </w:p>
    <w:p w14:paraId="2E267692" w14:textId="77777777" w:rsidR="0098779D" w:rsidRDefault="00000000">
      <w:pPr>
        <w:pStyle w:val="Heading1"/>
        <w:spacing w:after="122" w:line="242" w:lineRule="auto"/>
        <w:ind w:left="79" w:firstLine="0"/>
      </w:pPr>
      <w:r>
        <w:t xml:space="preserve">Momentum-Resolved Spin Splitting in 3D </w:t>
      </w:r>
      <w:proofErr w:type="spellStart"/>
      <w:r>
        <w:t>Altermagnets</w:t>
      </w:r>
      <w:proofErr w:type="spellEnd"/>
      <w:r>
        <w:t>: Interplay of Ferromagnetic and Antiferromagnetic orders</w:t>
      </w:r>
    </w:p>
    <w:p w14:paraId="149F91FD" w14:textId="77777777" w:rsidR="0098779D" w:rsidRDefault="00000000">
      <w:pPr>
        <w:spacing w:after="91"/>
        <w:ind w:left="430" w:firstLine="0"/>
        <w:jc w:val="left"/>
      </w:pPr>
      <w:r>
        <w:rPr>
          <w:b/>
          <w:sz w:val="24"/>
          <w:szCs w:val="24"/>
        </w:rPr>
        <w:t xml:space="preserve"> </w:t>
      </w:r>
    </w:p>
    <w:p w14:paraId="48B04D4F" w14:textId="77777777" w:rsidR="0098779D" w:rsidRDefault="00000000">
      <w:pPr>
        <w:spacing w:after="0"/>
        <w:ind w:left="436" w:firstLine="429"/>
        <w:jc w:val="left"/>
      </w:pPr>
      <w:r>
        <w:rPr>
          <w:b/>
          <w:sz w:val="24"/>
          <w:szCs w:val="24"/>
        </w:rPr>
        <w:t>Primary author</w:t>
      </w:r>
      <w:r>
        <w:rPr>
          <w:sz w:val="24"/>
          <w:szCs w:val="24"/>
        </w:rPr>
        <w:t xml:space="preserve">: </w:t>
      </w:r>
      <w:r>
        <w:rPr>
          <w:b/>
        </w:rPr>
        <w:t>Rotish Sarkar</w:t>
      </w:r>
      <w:r>
        <w:rPr>
          <w:vertAlign w:val="superscript"/>
        </w:rPr>
        <w:t>1</w:t>
      </w:r>
      <w:r>
        <w:rPr>
          <w:sz w:val="38"/>
          <w:szCs w:val="38"/>
        </w:rPr>
        <w:t xml:space="preserve"> </w:t>
      </w:r>
    </w:p>
    <w:p w14:paraId="2E92A498" w14:textId="77777777" w:rsidR="0098779D" w:rsidRDefault="00000000">
      <w:pPr>
        <w:spacing w:after="41"/>
        <w:ind w:left="436" w:firstLine="429"/>
        <w:jc w:val="left"/>
      </w:pPr>
      <w:r>
        <w:rPr>
          <w:b/>
          <w:sz w:val="24"/>
          <w:szCs w:val="24"/>
        </w:rPr>
        <w:t>Co-author</w:t>
      </w:r>
      <w:r>
        <w:rPr>
          <w:sz w:val="24"/>
          <w:szCs w:val="24"/>
        </w:rPr>
        <w:t xml:space="preserve">: </w:t>
      </w:r>
      <w:r>
        <w:rPr>
          <w:b/>
        </w:rPr>
        <w:t>Dr. Nimisha Raghuvanshi*</w:t>
      </w:r>
      <w:r>
        <w:rPr>
          <w:vertAlign w:val="superscript"/>
        </w:rPr>
        <w:t>1</w:t>
      </w:r>
    </w:p>
    <w:p w14:paraId="4AC12D57" w14:textId="77777777" w:rsidR="0098779D" w:rsidRDefault="00000000">
      <w:pPr>
        <w:ind w:left="433" w:firstLine="430"/>
      </w:pPr>
      <w:r>
        <w:rPr>
          <w:b/>
          <w:sz w:val="24"/>
          <w:szCs w:val="24"/>
        </w:rPr>
        <w:t>Presenter</w:t>
      </w:r>
      <w:r>
        <w:rPr>
          <w:sz w:val="24"/>
          <w:szCs w:val="24"/>
        </w:rPr>
        <w:t xml:space="preserve">: </w:t>
      </w:r>
      <w:r>
        <w:t>Rotish Sarkar</w:t>
      </w:r>
    </w:p>
    <w:p w14:paraId="6FF53F70" w14:textId="77777777" w:rsidR="0098779D" w:rsidRDefault="00000000">
      <w:pPr>
        <w:spacing w:after="55"/>
        <w:ind w:left="436" w:firstLine="429"/>
        <w:jc w:val="left"/>
      </w:pPr>
      <w:r>
        <w:rPr>
          <w:b/>
        </w:rPr>
        <w:t>Track Classification</w:t>
      </w:r>
      <w:r>
        <w:t xml:space="preserve">: Track 03 </w:t>
      </w:r>
    </w:p>
    <w:p w14:paraId="2E8FADEA" w14:textId="77777777" w:rsidR="0098779D" w:rsidRDefault="00000000">
      <w:pPr>
        <w:spacing w:after="39"/>
        <w:ind w:left="438" w:firstLine="0"/>
        <w:jc w:val="left"/>
      </w:pPr>
      <w:r>
        <w:t xml:space="preserve"> </w:t>
      </w:r>
    </w:p>
    <w:p w14:paraId="590FB828" w14:textId="77777777" w:rsidR="0098779D" w:rsidRDefault="00000000">
      <w:pPr>
        <w:spacing w:line="347" w:lineRule="auto"/>
        <w:ind w:left="433" w:right="2763" w:firstLine="430"/>
      </w:pPr>
      <w:r>
        <w:rPr>
          <w:vertAlign w:val="superscript"/>
        </w:rPr>
        <w:t>1</w:t>
      </w:r>
      <w:r>
        <w:t xml:space="preserve"> Department of Engineering Sciences, Assam Energy Institute (RGIPT), Assam  </w:t>
      </w:r>
    </w:p>
    <w:p w14:paraId="4B18C1AE" w14:textId="77777777" w:rsidR="0098779D" w:rsidRDefault="0098779D">
      <w:pPr>
        <w:spacing w:line="347" w:lineRule="auto"/>
        <w:ind w:left="433" w:right="2763" w:firstLine="430"/>
      </w:pPr>
    </w:p>
    <w:p w14:paraId="0FCB0050" w14:textId="77777777" w:rsidR="0098779D" w:rsidRDefault="00000000">
      <w:pPr>
        <w:spacing w:line="347" w:lineRule="auto"/>
        <w:ind w:left="433" w:right="2763" w:firstLine="430"/>
      </w:pPr>
      <w:r>
        <w:t xml:space="preserve">*Corresponding Author: </w:t>
      </w:r>
      <w:r>
        <w:rPr>
          <w:i/>
          <w:sz w:val="20"/>
          <w:szCs w:val="20"/>
        </w:rPr>
        <w:t>rotishs23ea@rgipt.ac.in</w:t>
      </w:r>
      <w:r>
        <w:t xml:space="preserve"> </w:t>
      </w:r>
    </w:p>
    <w:p w14:paraId="79D7B734" w14:textId="77777777" w:rsidR="0098779D" w:rsidRDefault="00000000">
      <w:pPr>
        <w:spacing w:after="128"/>
        <w:ind w:left="557" w:firstLine="0"/>
        <w:jc w:val="center"/>
      </w:pPr>
      <w:r>
        <w:rPr>
          <w:sz w:val="38"/>
          <w:szCs w:val="38"/>
        </w:rPr>
        <w:t xml:space="preserve"> </w:t>
      </w:r>
    </w:p>
    <w:p w14:paraId="639C444B" w14:textId="338C2F4B" w:rsidR="0098779D" w:rsidRDefault="00000000">
      <w:pPr>
        <w:spacing w:before="120"/>
        <w:ind w:firstLine="284"/>
      </w:pPr>
      <w:bookmarkStart w:id="1" w:name="_bcy7umhz7o6p" w:colFirst="0" w:colLast="0"/>
      <w:bookmarkEnd w:id="1"/>
      <w:r>
        <w:t xml:space="preserve">Abstract: This work synthesizes theoretical advances in </w:t>
      </w:r>
      <w:proofErr w:type="spellStart"/>
      <w:r>
        <w:t>Altermagnetism</w:t>
      </w:r>
      <w:proofErr w:type="spellEnd"/>
      <w:r w:rsidR="008B603B">
        <w:t>,</w:t>
      </w:r>
      <w:r w:rsidR="008B603B" w:rsidRPr="008B603B">
        <w:t xml:space="preserve"> </w:t>
      </w:r>
      <w:r w:rsidR="008B603B" w:rsidRPr="008B603B">
        <w:t>a third type of collinear magnetism Similar to standard A</w:t>
      </w:r>
      <w:r w:rsidR="008B603B">
        <w:t>ntiferromagnetic (zero net magnetisation) and Ferromagnetic (spin splitting in band structure)</w:t>
      </w:r>
      <w:r>
        <w:t xml:space="preserve">, </w:t>
      </w:r>
      <w:proofErr w:type="spellStart"/>
      <w:r>
        <w:t>aming</w:t>
      </w:r>
      <w:proofErr w:type="spellEnd"/>
      <w:r>
        <w:t xml:space="preserve"> to validate </w:t>
      </w:r>
      <w:proofErr w:type="spellStart"/>
      <w:r>
        <w:t>Altermagnetic</w:t>
      </w:r>
      <w:proofErr w:type="spellEnd"/>
      <w:r>
        <w:t xml:space="preserve"> band splitting in a real material and to propose a new correlation-driven mechanism. Chromium antimonide (</w:t>
      </w:r>
      <w:proofErr w:type="spellStart"/>
      <w:r>
        <w:t>CrSb</w:t>
      </w:r>
      <w:proofErr w:type="spellEnd"/>
      <w:r>
        <w:t xml:space="preserve">) is demonstrated as a metallic </w:t>
      </w:r>
      <w:proofErr w:type="spellStart"/>
      <w:r>
        <w:t>altermagnet</w:t>
      </w:r>
      <w:proofErr w:type="spellEnd"/>
      <w:r>
        <w:t xml:space="preserve">, exhibiting large, momentum-dependent spin splitting without net magnetization in the band structure. We developed a minimal two–orbital tight-binding model for the </w:t>
      </w:r>
      <w:proofErr w:type="spellStart"/>
      <w:r>
        <w:t>NiAs</w:t>
      </w:r>
      <w:proofErr w:type="spellEnd"/>
      <w:r>
        <w:t xml:space="preserve">–type hexagonal lattice of </w:t>
      </w:r>
      <w:proofErr w:type="spellStart"/>
      <w:r>
        <w:t>CrSb</w:t>
      </w:r>
      <w:proofErr w:type="spellEnd"/>
      <w:r>
        <w:t xml:space="preserve">. The theoretical model is a two-band Hubbard-like Hamiltonian solved at mean-field </w:t>
      </w:r>
      <w:proofErr w:type="gramStart"/>
      <w:r>
        <w:t>level ,</w:t>
      </w:r>
      <w:proofErr w:type="gramEnd"/>
      <w:r w:rsidR="008B603B">
        <w:t xml:space="preserve"> </w:t>
      </w:r>
      <w:r>
        <w:t xml:space="preserve">orbitals on a hexagonal lattice incorporating intra- and inter-orbital hopping up to third-nearest </w:t>
      </w:r>
      <w:proofErr w:type="spellStart"/>
      <w:r>
        <w:t>neighbors</w:t>
      </w:r>
      <w:proofErr w:type="spellEnd"/>
      <w:r>
        <w:t xml:space="preserve"> on the </w:t>
      </w:r>
      <m:oMath>
        <m:sSub>
          <m:sSubPr>
            <m:ctrlPr>
              <w:rPr>
                <w:rFonts w:ascii="Cambria Math" w:eastAsia="Cambria Math" w:hAnsi="Cambria Math" w:cs="Cambria Math"/>
              </w:rPr>
            </m:ctrlPr>
          </m:sSubPr>
          <m:e>
            <m:r>
              <w:rPr>
                <w:rFonts w:ascii="Cambria Math" w:eastAsia="Cambria Math" w:hAnsi="Cambria Math" w:cs="Cambria Math"/>
              </w:rPr>
              <m:t>d</m:t>
            </m:r>
          </m:e>
          <m:sub>
            <m:r>
              <w:rPr>
                <w:rFonts w:ascii="Cambria Math" w:eastAsia="Cambria Math" w:hAnsi="Cambria Math" w:cs="Cambria Math"/>
              </w:rPr>
              <m:t>xy</m:t>
            </m:r>
          </m:sub>
        </m:sSub>
      </m:oMath>
      <w:r>
        <w:t xml:space="preserve"> and </w:t>
      </w:r>
      <m:oMath>
        <m:sSub>
          <m:sSubPr>
            <m:ctrlPr>
              <w:rPr>
                <w:rFonts w:ascii="Cambria Math" w:eastAsia="Cambria Math" w:hAnsi="Cambria Math" w:cs="Cambria Math"/>
              </w:rPr>
            </m:ctrlPr>
          </m:sSubPr>
          <m:e>
            <m:r>
              <w:rPr>
                <w:rFonts w:ascii="Cambria Math" w:eastAsia="Cambria Math" w:hAnsi="Cambria Math" w:cs="Cambria Math"/>
              </w:rPr>
              <m:t>d</m:t>
            </m:r>
          </m:e>
          <m:sub>
            <m:sSup>
              <m:sSupPr>
                <m:ctrlPr>
                  <w:rPr>
                    <w:rFonts w:ascii="Cambria Math" w:eastAsia="Cambria Math" w:hAnsi="Cambria Math" w:cs="Cambria Math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</w:rPr>
                  <m:t>x</m:t>
                </m:r>
              </m:e>
              <m:sup>
                <m:r>
                  <w:rPr>
                    <w:rFonts w:ascii="Cambria Math" w:eastAsia="Cambria Math" w:hAnsi="Cambria Math" w:cs="Cambria Math"/>
                  </w:rPr>
                  <m:t>2</m:t>
                </m:r>
              </m:sup>
            </m:sSup>
            <m:r>
              <w:rPr>
                <w:rFonts w:ascii="Cambria Math" w:eastAsia="Cambria Math" w:hAnsi="Cambria Math" w:cs="Cambria Math"/>
              </w:rPr>
              <m:t>-</m:t>
            </m:r>
            <m:sSup>
              <m:sSupPr>
                <m:ctrlPr>
                  <w:rPr>
                    <w:rFonts w:ascii="Cambria Math" w:eastAsia="Cambria Math" w:hAnsi="Cambria Math" w:cs="Cambria Math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</w:rPr>
                  <m:t>y</m:t>
                </m:r>
              </m:e>
              <m:sup>
                <m:r>
                  <w:rPr>
                    <w:rFonts w:ascii="Cambria Math" w:eastAsia="Cambria Math" w:hAnsi="Cambria Math" w:cs="Cambria Math"/>
                  </w:rPr>
                  <m:t>2</m:t>
                </m:r>
              </m:sup>
            </m:sSup>
          </m:sub>
        </m:sSub>
      </m:oMath>
      <w:r>
        <w:t xml:space="preserve"> orbitals. By fitting hopping parameters ( </w:t>
      </w:r>
      <m:oMath>
        <m:sSub>
          <m:sSubPr>
            <m:ctrlPr>
              <w:rPr>
                <w:rFonts w:ascii="Cambria Math" w:eastAsia="Cambria Math" w:hAnsi="Cambria Math" w:cs="Cambria Math"/>
              </w:rPr>
            </m:ctrlPr>
          </m:sSubPr>
          <m:e>
            <m:r>
              <w:rPr>
                <w:rFonts w:ascii="Cambria Math" w:eastAsia="Cambria Math" w:hAnsi="Cambria Math" w:cs="Cambria Math"/>
              </w:rPr>
              <m:t>t</m:t>
            </m:r>
          </m:e>
          <m:sub>
            <m:r>
              <w:rPr>
                <w:rFonts w:ascii="Cambria Math" w:eastAsia="Cambria Math" w:hAnsi="Cambria Math" w:cs="Cambria Math"/>
              </w:rPr>
              <m:t>1</m:t>
            </m:r>
          </m:sub>
        </m:sSub>
        <m:r>
          <w:rPr>
            <w:rFonts w:ascii="Cambria Math" w:eastAsia="Cambria Math" w:hAnsi="Cambria Math" w:cs="Cambria Math"/>
          </w:rPr>
          <m:t>=</m:t>
        </m:r>
        <m:sSub>
          <m:sSubPr>
            <m:ctrlPr>
              <w:rPr>
                <w:rFonts w:ascii="Cambria Math" w:eastAsia="Cambria Math" w:hAnsi="Cambria Math" w:cs="Cambria Math"/>
              </w:rPr>
            </m:ctrlPr>
          </m:sSubPr>
          <m:e>
            <m:r>
              <w:rPr>
                <w:rFonts w:ascii="Cambria Math" w:eastAsia="Cambria Math" w:hAnsi="Cambria Math" w:cs="Cambria Math"/>
              </w:rPr>
              <m:t>t</m:t>
            </m:r>
          </m:e>
          <m:sub>
            <m:r>
              <w:rPr>
                <w:rFonts w:ascii="Cambria Math" w:eastAsia="Cambria Math" w:hAnsi="Cambria Math" w:cs="Cambria Math"/>
              </w:rPr>
              <m:t>2</m:t>
            </m:r>
          </m:sub>
        </m:sSub>
        <m:r>
          <w:rPr>
            <w:rFonts w:ascii="Cambria Math" w:eastAsia="Cambria Math" w:hAnsi="Cambria Math" w:cs="Cambria Math"/>
          </w:rPr>
          <m:t>=1.75</m:t>
        </m:r>
      </m:oMath>
      <w:r>
        <w:t xml:space="preserve">, </w:t>
      </w:r>
      <m:oMath>
        <m:sSub>
          <m:sSubPr>
            <m:ctrlPr>
              <w:rPr>
                <w:rFonts w:ascii="Cambria Math" w:eastAsia="Cambria Math" w:hAnsi="Cambria Math" w:cs="Cambria Math"/>
              </w:rPr>
            </m:ctrlPr>
          </m:sSubPr>
          <m:e>
            <m:r>
              <w:rPr>
                <w:rFonts w:ascii="Cambria Math" w:eastAsia="Cambria Math" w:hAnsi="Cambria Math" w:cs="Cambria Math"/>
              </w:rPr>
              <m:t>t</m:t>
            </m:r>
          </m:e>
          <m:sub>
            <m:r>
              <w:rPr>
                <w:rFonts w:ascii="Cambria Math" w:eastAsia="Cambria Math" w:hAnsi="Cambria Math" w:cs="Cambria Math"/>
              </w:rPr>
              <m:t>3</m:t>
            </m:r>
          </m:sub>
        </m:sSub>
        <m:r>
          <w:rPr>
            <w:rFonts w:ascii="Cambria Math" w:eastAsia="Cambria Math" w:hAnsi="Cambria Math" w:cs="Cambria Math"/>
          </w:rPr>
          <m:t>=</m:t>
        </m:r>
        <m:sSub>
          <m:sSubPr>
            <m:ctrlPr>
              <w:rPr>
                <w:rFonts w:ascii="Cambria Math" w:eastAsia="Cambria Math" w:hAnsi="Cambria Math" w:cs="Cambria Math"/>
              </w:rPr>
            </m:ctrlPr>
          </m:sSubPr>
          <m:e>
            <m:r>
              <w:rPr>
                <w:rFonts w:ascii="Cambria Math" w:eastAsia="Cambria Math" w:hAnsi="Cambria Math" w:cs="Cambria Math"/>
              </w:rPr>
              <m:t>t</m:t>
            </m:r>
          </m:e>
          <m:sub>
            <m:r>
              <w:rPr>
                <w:rFonts w:ascii="Cambria Math" w:eastAsia="Cambria Math" w:hAnsi="Cambria Math" w:cs="Cambria Math"/>
              </w:rPr>
              <m:t>4</m:t>
            </m:r>
          </m:sub>
        </m:sSub>
        <m:r>
          <w:rPr>
            <w:rFonts w:ascii="Cambria Math" w:eastAsia="Cambria Math" w:hAnsi="Cambria Math" w:cs="Cambria Math"/>
          </w:rPr>
          <m:t>=0.85</m:t>
        </m:r>
      </m:oMath>
      <w:r>
        <w:t xml:space="preserve">, </w:t>
      </w:r>
      <m:oMath>
        <m:r>
          <w:rPr>
            <w:rFonts w:ascii="Cambria Math" w:eastAsia="Cambria Math" w:hAnsi="Cambria Math" w:cs="Cambria Math"/>
          </w:rPr>
          <m:t>r=-1.95</m:t>
        </m:r>
      </m:oMath>
      <w:r>
        <w:t xml:space="preserve">, </w:t>
      </w:r>
      <m:oMath>
        <m:r>
          <w:rPr>
            <w:rFonts w:ascii="Cambria Math" w:eastAsia="Cambria Math" w:hAnsi="Cambria Math" w:cs="Cambria Math"/>
          </w:rPr>
          <m:t>s=-0.65</m:t>
        </m:r>
      </m:oMath>
      <w:r>
        <w:t xml:space="preserve">, </w:t>
      </w:r>
      <m:oMath>
        <m:sSub>
          <m:sSubPr>
            <m:ctrlPr>
              <w:rPr>
                <w:rFonts w:ascii="Cambria Math" w:eastAsia="Cambria Math" w:hAnsi="Cambria Math" w:cs="Cambria Math"/>
              </w:rPr>
            </m:ctrlPr>
          </m:sSubPr>
          <m:e>
            <m:r>
              <w:rPr>
                <w:rFonts w:ascii="Cambria Math" w:eastAsia="Cambria Math" w:hAnsi="Cambria Math" w:cs="Cambria Math"/>
              </w:rPr>
              <m:t>s</m:t>
            </m:r>
          </m:e>
          <m:sub>
            <m:r>
              <w:rPr>
                <w:rFonts w:ascii="Cambria Math" w:eastAsia="Cambria Math" w:hAnsi="Cambria Math" w:cs="Cambria Math"/>
              </w:rPr>
              <m:t>h</m:t>
            </m:r>
          </m:sub>
        </m:sSub>
        <m:r>
          <w:rPr>
            <w:rFonts w:ascii="Cambria Math" w:eastAsia="Cambria Math" w:hAnsi="Cambria Math" w:cs="Cambria Math"/>
          </w:rPr>
          <m:t>=-0.05</m:t>
        </m:r>
      </m:oMath>
      <w:r>
        <w:t xml:space="preserve"> ) in energy units along the high-symmetry </w:t>
      </w:r>
      <m:oMath>
        <m:r>
          <w:rPr>
            <w:rFonts w:ascii="Cambria Math" w:eastAsia="Cambria Math" w:hAnsi="Cambria Math" w:cs="Cambria Math"/>
          </w:rPr>
          <m:t>M</m:t>
        </m:r>
      </m:oMath>
      <w:r>
        <w:t>–</w:t>
      </w:r>
      <m:oMath>
        <m:r>
          <w:rPr>
            <w:rFonts w:ascii="Cambria Math" w:hAnsi="Cambria Math"/>
          </w:rPr>
          <m:t>Γ</m:t>
        </m:r>
      </m:oMath>
      <w:r>
        <w:t>–</w:t>
      </w:r>
      <m:oMath>
        <m:r>
          <w:rPr>
            <w:rFonts w:ascii="Cambria Math" w:eastAsia="Cambria Math" w:hAnsi="Cambria Math" w:cs="Cambria Math"/>
          </w:rPr>
          <m:t>M</m:t>
        </m:r>
      </m:oMath>
      <w:r>
        <w:t xml:space="preserve"> path.</w:t>
      </w:r>
      <w:r>
        <w:rPr>
          <w:color w:val="000000"/>
          <w:sz w:val="18"/>
          <w:szCs w:val="18"/>
        </w:rPr>
        <w:t xml:space="preserve"> </w:t>
      </w:r>
      <w:r>
        <w:t>It is analy</w:t>
      </w:r>
      <w:r w:rsidR="008B603B">
        <w:t>s</w:t>
      </w:r>
      <w:r>
        <w:t xml:space="preserve">ed for coexisting Neel antiferromagnetic (AFM) and staggered orbital order (OO), the model reproduces the nonmagnetic band dispersion neglecting the interaction terms </w:t>
      </w:r>
      <w:r w:rsidR="008B603B">
        <w:t>i.e.</w:t>
      </w:r>
      <w:r>
        <w:t xml:space="preserve"> AFM and OO interaction and quantitatively captures key features of angle-resolved photoemission spectroscopy (ARPES) data near the Fermi level. Direct ARPES measurements reveal an anisotropic band splitting of approximately 0.6 eV linked to the </w:t>
      </w:r>
      <m:oMath>
        <m:sSub>
          <m:sSubPr>
            <m:ctrlPr>
              <w:rPr>
                <w:rFonts w:ascii="Cambria Math" w:eastAsia="Cambria Math" w:hAnsi="Cambria Math" w:cs="Cambria Math"/>
              </w:rPr>
            </m:ctrlPr>
          </m:sSubPr>
          <m:e>
            <m:r>
              <w:rPr>
                <w:rFonts w:ascii="Cambria Math" w:eastAsia="Cambria Math" w:hAnsi="Cambria Math" w:cs="Cambria Math"/>
              </w:rPr>
              <m:t>d</m:t>
            </m:r>
          </m:e>
          <m:sub>
            <m:sSup>
              <m:sSupPr>
                <m:ctrlPr>
                  <w:rPr>
                    <w:rFonts w:ascii="Cambria Math" w:eastAsia="Cambria Math" w:hAnsi="Cambria Math" w:cs="Cambria Math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</w:rPr>
                  <m:t>x</m:t>
                </m:r>
              </m:e>
              <m:sup>
                <m:r>
                  <w:rPr>
                    <w:rFonts w:ascii="Cambria Math" w:eastAsia="Cambria Math" w:hAnsi="Cambria Math" w:cs="Cambria Math"/>
                  </w:rPr>
                  <m:t>2</m:t>
                </m:r>
              </m:sup>
            </m:sSup>
            <m:r>
              <w:rPr>
                <w:rFonts w:ascii="Cambria Math" w:eastAsia="Cambria Math" w:hAnsi="Cambria Math" w:cs="Cambria Math"/>
              </w:rPr>
              <m:t>-</m:t>
            </m:r>
            <m:sSup>
              <m:sSupPr>
                <m:ctrlPr>
                  <w:rPr>
                    <w:rFonts w:ascii="Cambria Math" w:eastAsia="Cambria Math" w:hAnsi="Cambria Math" w:cs="Cambria Math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</w:rPr>
                  <m:t>y</m:t>
                </m:r>
              </m:e>
              <m:sup>
                <m:r>
                  <w:rPr>
                    <w:rFonts w:ascii="Cambria Math" w:eastAsia="Cambria Math" w:hAnsi="Cambria Math" w:cs="Cambria Math"/>
                  </w:rPr>
                  <m:t>2</m:t>
                </m:r>
              </m:sup>
            </m:sSup>
          </m:sub>
        </m:sSub>
      </m:oMath>
      <w:r>
        <w:t xml:space="preserve"> orbital character, confirming exchange-induced altermagnetic order above 700 K. Our results establish CrSb’s simple orbital framework as an ideal platform for theoretical studies and practical spintronic applications, where field-free, spin-polarized transport and anomalous Hall phenomena arise from intrinsic momentum-space spin polarization</w:t>
      </w:r>
    </w:p>
    <w:p w14:paraId="7CF4DB91" w14:textId="77777777" w:rsidR="0098779D" w:rsidRDefault="00000000">
      <w:pPr>
        <w:spacing w:after="0"/>
        <w:ind w:left="242" w:firstLine="438"/>
      </w:pPr>
      <w:r>
        <w:t xml:space="preserve">The orbital-order and Antiferromagnetic-order model demonstrates a new design principle: electronic correlations and orbital ordering and antiferromagnetic ordering can induce </w:t>
      </w:r>
      <w:proofErr w:type="spellStart"/>
      <w:r>
        <w:t>altermagnetism</w:t>
      </w:r>
      <w:proofErr w:type="spellEnd"/>
      <w:r>
        <w:t xml:space="preserve"> in lattices without considering relativistic spin-splitting. This expands the search space for </w:t>
      </w:r>
      <w:proofErr w:type="spellStart"/>
      <w:r>
        <w:t>altermagnets</w:t>
      </w:r>
      <w:proofErr w:type="spellEnd"/>
      <w:r>
        <w:t xml:space="preserve"> to correlated oxides and other systems. In both cases, the large momentum-dependent spin polarization and associated transverse spin currents point toward device concepts combining ferromagnet-like spin polarization with antiferromagnetic robustness. These advances inform material design strategies (e.g. engineering Cr–Sb hopping paths or orbital occupations) and point to novel spintronic applications leveraging </w:t>
      </w:r>
      <w:proofErr w:type="spellStart"/>
      <w:r>
        <w:t>altermagnetism</w:t>
      </w:r>
      <w:proofErr w:type="spellEnd"/>
      <w:r>
        <w:t>.</w:t>
      </w:r>
    </w:p>
    <w:p w14:paraId="58984036" w14:textId="77777777" w:rsidR="0098779D" w:rsidRDefault="00000000">
      <w:pPr>
        <w:spacing w:after="0"/>
        <w:ind w:left="242" w:firstLine="438"/>
      </w:pPr>
      <w:r>
        <w:rPr>
          <w:noProof/>
        </w:rPr>
        <w:lastRenderedPageBreak/>
        <w:drawing>
          <wp:inline distT="0" distB="0" distL="0" distR="0" wp14:anchorId="72D1B7FB" wp14:editId="728C1C6E">
            <wp:extent cx="2236747" cy="2386043"/>
            <wp:effectExtent l="0" t="0" r="0" b="0"/>
            <wp:docPr id="2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236747" cy="2386043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042B98BB" wp14:editId="178EFFA6">
            <wp:extent cx="2689958" cy="2627012"/>
            <wp:effectExtent l="0" t="0" r="0" b="0"/>
            <wp:docPr id="3" name="image3.png" descr="A diagram of a cube with circles and arrows&#10;&#10;AI-generated content may be incorrect.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 descr="A diagram of a cube with circles and arrows&#10;&#10;AI-generated content may be incorrect.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689958" cy="262701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3E43F3E" w14:textId="77777777" w:rsidR="0098779D" w:rsidRDefault="0098779D">
      <w:pPr>
        <w:spacing w:after="0"/>
        <w:ind w:left="242" w:firstLine="438"/>
      </w:pPr>
    </w:p>
    <w:p w14:paraId="465B0F61" w14:textId="77777777" w:rsidR="0098779D" w:rsidRDefault="00000000">
      <w:pPr>
        <w:spacing w:after="0"/>
        <w:ind w:left="242" w:firstLine="438"/>
        <w:jc w:val="center"/>
      </w:pPr>
      <w:r>
        <w:t xml:space="preserve">Fig: Hopping mechanism takes place in the </w:t>
      </w:r>
      <w:proofErr w:type="spellStart"/>
      <w:r>
        <w:t>CrSb</w:t>
      </w:r>
      <w:proofErr w:type="spellEnd"/>
      <w:r>
        <w:t xml:space="preserve"> crystal structure</w:t>
      </w:r>
    </w:p>
    <w:p w14:paraId="2E69DE9F" w14:textId="77777777" w:rsidR="0098779D" w:rsidRDefault="0098779D">
      <w:pPr>
        <w:spacing w:after="0"/>
        <w:ind w:left="242" w:firstLine="438"/>
      </w:pPr>
    </w:p>
    <w:p w14:paraId="2E8E4032" w14:textId="77777777" w:rsidR="0098779D" w:rsidRDefault="00000000">
      <w:pPr>
        <w:spacing w:after="0"/>
        <w:ind w:left="242" w:hanging="60"/>
      </w:pPr>
      <w:r>
        <w:t>References:</w:t>
      </w:r>
    </w:p>
    <w:p w14:paraId="22418E1D" w14:textId="77777777" w:rsidR="0098779D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center" w:pos="1067"/>
          <w:tab w:val="center" w:pos="1963"/>
          <w:tab w:val="center" w:pos="2391"/>
          <w:tab w:val="center" w:pos="8050"/>
        </w:tabs>
        <w:spacing w:after="0" w:line="240" w:lineRule="auto"/>
        <w:rPr>
          <w:color w:val="000000"/>
        </w:rPr>
      </w:pPr>
      <w:r>
        <w:rPr>
          <w:i/>
          <w:color w:val="000000"/>
        </w:rPr>
        <w:t xml:space="preserve">Direct observation of </w:t>
      </w:r>
      <w:proofErr w:type="spellStart"/>
      <w:r>
        <w:rPr>
          <w:i/>
          <w:color w:val="000000"/>
        </w:rPr>
        <w:t>altermagnetic</w:t>
      </w:r>
      <w:proofErr w:type="spellEnd"/>
      <w:r>
        <w:rPr>
          <w:i/>
          <w:color w:val="000000"/>
        </w:rPr>
        <w:t xml:space="preserve"> band splitting in </w:t>
      </w:r>
      <w:proofErr w:type="spellStart"/>
      <w:r>
        <w:rPr>
          <w:i/>
          <w:color w:val="000000"/>
        </w:rPr>
        <w:t>CrSb</w:t>
      </w:r>
      <w:proofErr w:type="spellEnd"/>
      <w:r>
        <w:rPr>
          <w:i/>
          <w:color w:val="000000"/>
        </w:rPr>
        <w:t xml:space="preserve"> thin </w:t>
      </w:r>
      <w:proofErr w:type="spellStart"/>
      <w:r>
        <w:rPr>
          <w:i/>
          <w:color w:val="000000"/>
        </w:rPr>
        <w:t>films</w:t>
      </w:r>
      <w:hyperlink r:id="rId9">
        <w:r>
          <w:rPr>
            <w:i/>
            <w:color w:val="467886"/>
            <w:u w:val="single"/>
          </w:rPr>
          <w:t>Sonka</w:t>
        </w:r>
        <w:proofErr w:type="spellEnd"/>
        <w:r>
          <w:rPr>
            <w:i/>
            <w:color w:val="467886"/>
            <w:u w:val="single"/>
          </w:rPr>
          <w:t xml:space="preserve"> Reimers</w:t>
        </w:r>
      </w:hyperlink>
      <w:r>
        <w:rPr>
          <w:i/>
          <w:color w:val="000000"/>
        </w:rPr>
        <w:t>,</w:t>
      </w:r>
      <w:hyperlink r:id="rId10">
        <w:r>
          <w:rPr>
            <w:i/>
            <w:color w:val="467886"/>
            <w:u w:val="single"/>
          </w:rPr>
          <w:t xml:space="preserve"> Nature Communications</w:t>
        </w:r>
      </w:hyperlink>
      <w:r>
        <w:rPr>
          <w:i/>
          <w:color w:val="000000"/>
        </w:rPr>
        <w:t> volume 15, Article number: 2116 (2024)</w:t>
      </w:r>
    </w:p>
    <w:p w14:paraId="47F5C11B" w14:textId="77777777" w:rsidR="0098779D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center" w:pos="1067"/>
          <w:tab w:val="center" w:pos="1963"/>
          <w:tab w:val="center" w:pos="2391"/>
          <w:tab w:val="center" w:pos="8050"/>
        </w:tabs>
        <w:spacing w:after="0" w:line="240" w:lineRule="auto"/>
        <w:rPr>
          <w:color w:val="000000"/>
        </w:rPr>
      </w:pPr>
      <w:r>
        <w:rPr>
          <w:i/>
          <w:color w:val="000000"/>
        </w:rPr>
        <w:t xml:space="preserve">Observation of giant band splitting in </w:t>
      </w:r>
      <w:proofErr w:type="spellStart"/>
      <w:r>
        <w:rPr>
          <w:i/>
          <w:color w:val="000000"/>
        </w:rPr>
        <w:t>altermagnetic</w:t>
      </w:r>
      <w:proofErr w:type="spellEnd"/>
      <w:r>
        <w:rPr>
          <w:i/>
          <w:color w:val="000000"/>
        </w:rPr>
        <w:t xml:space="preserve"> </w:t>
      </w:r>
      <w:proofErr w:type="spellStart"/>
      <w:r>
        <w:rPr>
          <w:i/>
          <w:color w:val="000000"/>
        </w:rPr>
        <w:t>MnTe</w:t>
      </w:r>
      <w:proofErr w:type="spellEnd"/>
      <w:r>
        <w:rPr>
          <w:i/>
          <w:color w:val="000000"/>
        </w:rPr>
        <w:t xml:space="preserve"> T. Osumi, arXiv:2308.10117v2 10 Feb 2024</w:t>
      </w:r>
    </w:p>
    <w:p w14:paraId="39FE0918" w14:textId="77777777" w:rsidR="0098779D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center" w:pos="1067"/>
          <w:tab w:val="center" w:pos="1963"/>
          <w:tab w:val="center" w:pos="2391"/>
          <w:tab w:val="center" w:pos="8050"/>
        </w:tabs>
        <w:spacing w:after="0" w:line="240" w:lineRule="auto"/>
        <w:rPr>
          <w:color w:val="000000"/>
        </w:rPr>
      </w:pPr>
      <w:r>
        <w:rPr>
          <w:b/>
          <w:i/>
          <w:color w:val="000000"/>
        </w:rPr>
        <w:t xml:space="preserve">Discovery of a metallic room-temperature d-wave </w:t>
      </w:r>
      <w:proofErr w:type="spellStart"/>
      <w:r>
        <w:rPr>
          <w:b/>
          <w:i/>
          <w:color w:val="000000"/>
        </w:rPr>
        <w:t>altermagnet</w:t>
      </w:r>
      <w:proofErr w:type="spellEnd"/>
      <w:r>
        <w:rPr>
          <w:b/>
          <w:i/>
          <w:color w:val="000000"/>
        </w:rPr>
        <w:t xml:space="preserve"> KV2Se2O </w:t>
      </w:r>
      <w:hyperlink r:id="rId11">
        <w:r>
          <w:rPr>
            <w:i/>
            <w:color w:val="467886"/>
            <w:u w:val="single"/>
          </w:rPr>
          <w:t>Bei Jiang</w:t>
        </w:r>
      </w:hyperlink>
      <w:r>
        <w:rPr>
          <w:i/>
          <w:color w:val="000000"/>
        </w:rPr>
        <w:t xml:space="preserve"> </w:t>
      </w:r>
      <w:hyperlink r:id="rId12">
        <w:r>
          <w:rPr>
            <w:i/>
            <w:color w:val="467886"/>
            <w:u w:val="single"/>
          </w:rPr>
          <w:t>arXiv:2408.00320</w:t>
        </w:r>
      </w:hyperlink>
    </w:p>
    <w:p w14:paraId="61AFA0DA" w14:textId="77777777" w:rsidR="0098779D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center" w:pos="1067"/>
          <w:tab w:val="center" w:pos="1963"/>
          <w:tab w:val="center" w:pos="2391"/>
          <w:tab w:val="center" w:pos="8050"/>
        </w:tabs>
        <w:spacing w:after="0" w:line="240" w:lineRule="auto"/>
        <w:rPr>
          <w:color w:val="000000"/>
        </w:rPr>
      </w:pPr>
      <w:r>
        <w:rPr>
          <w:i/>
          <w:color w:val="000000"/>
        </w:rPr>
        <w:t xml:space="preserve">Electrical transport phenomena in </w:t>
      </w:r>
      <w:proofErr w:type="spellStart"/>
      <w:r>
        <w:rPr>
          <w:i/>
          <w:color w:val="000000"/>
        </w:rPr>
        <w:t>MnTe</w:t>
      </w:r>
      <w:proofErr w:type="spellEnd"/>
      <w:r>
        <w:rPr>
          <w:i/>
          <w:color w:val="000000"/>
        </w:rPr>
        <w:t>, an antiferromagnetic semiconductor Wasscher, J. D. (1969) DOI: 10.6100/IR43336</w:t>
      </w:r>
    </w:p>
    <w:p w14:paraId="29BAC1CF" w14:textId="77777777" w:rsidR="0098779D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center" w:pos="1067"/>
          <w:tab w:val="center" w:pos="1963"/>
          <w:tab w:val="center" w:pos="2391"/>
          <w:tab w:val="center" w:pos="8050"/>
        </w:tabs>
        <w:spacing w:after="0" w:line="240" w:lineRule="auto"/>
        <w:rPr>
          <w:color w:val="000000"/>
        </w:rPr>
      </w:pPr>
      <w:r>
        <w:rPr>
          <w:i/>
          <w:color w:val="000000"/>
        </w:rPr>
        <w:t xml:space="preserve">Néel vector-dependent anomalous transport in </w:t>
      </w:r>
      <w:proofErr w:type="spellStart"/>
      <w:r>
        <w:rPr>
          <w:i/>
          <w:color w:val="000000"/>
        </w:rPr>
        <w:t>altermagnetic</w:t>
      </w:r>
      <w:proofErr w:type="spellEnd"/>
      <w:r>
        <w:rPr>
          <w:i/>
          <w:color w:val="000000"/>
        </w:rPr>
        <w:t xml:space="preserve"> metal </w:t>
      </w:r>
      <w:proofErr w:type="spellStart"/>
      <w:r>
        <w:rPr>
          <w:i/>
          <w:color w:val="000000"/>
        </w:rPr>
        <w:t>CrSb</w:t>
      </w:r>
      <w:proofErr w:type="spellEnd"/>
      <w:r>
        <w:rPr>
          <w:i/>
          <w:color w:val="000000"/>
        </w:rPr>
        <w:t xml:space="preserve"> Check for updates, </w:t>
      </w:r>
      <w:proofErr w:type="spellStart"/>
      <w:r>
        <w:rPr>
          <w:i/>
          <w:color w:val="000000"/>
        </w:rPr>
        <w:t>Tianye</w:t>
      </w:r>
      <w:proofErr w:type="spellEnd"/>
      <w:r>
        <w:rPr>
          <w:i/>
          <w:color w:val="000000"/>
        </w:rPr>
        <w:t xml:space="preserve"> Yu1,</w:t>
      </w:r>
      <w:hyperlink r:id="rId13">
        <w:r>
          <w:rPr>
            <w:i/>
            <w:color w:val="467886"/>
            <w:u w:val="single"/>
          </w:rPr>
          <w:t xml:space="preserve"> 10.1038/s41535-025-00766-3</w:t>
        </w:r>
      </w:hyperlink>
      <w:r>
        <w:rPr>
          <w:i/>
          <w:color w:val="000000"/>
          <w:u w:val="single"/>
        </w:rPr>
        <w:t>,</w:t>
      </w:r>
      <w:r>
        <w:rPr>
          <w:i/>
          <w:color w:val="000000"/>
        </w:rPr>
        <w:t xml:space="preserve"> May 2025</w:t>
      </w:r>
    </w:p>
    <w:p w14:paraId="7CA9EA47" w14:textId="77777777" w:rsidR="0098779D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center" w:pos="1067"/>
          <w:tab w:val="center" w:pos="1963"/>
          <w:tab w:val="center" w:pos="2391"/>
          <w:tab w:val="center" w:pos="8050"/>
        </w:tabs>
        <w:spacing w:after="0" w:line="240" w:lineRule="auto"/>
        <w:rPr>
          <w:color w:val="000000"/>
        </w:rPr>
      </w:pPr>
      <w:r>
        <w:rPr>
          <w:i/>
          <w:color w:val="000000"/>
        </w:rPr>
        <w:t>UNUSUAL SYMMETRIES IN THE KUGEL-KHOMSKII HAMILTONIANA. B. Harris,</w:t>
      </w:r>
      <w:hyperlink r:id="rId14">
        <w:r>
          <w:rPr>
            <w:i/>
            <w:color w:val="467886"/>
            <w:u w:val="single"/>
          </w:rPr>
          <w:t xml:space="preserve"> </w:t>
        </w:r>
      </w:hyperlink>
      <w:r>
        <w:rPr>
          <w:i/>
          <w:color w:val="000000"/>
        </w:rPr>
        <w:t xml:space="preserve">August 2003 </w:t>
      </w:r>
      <w:hyperlink r:id="rId15">
        <w:r>
          <w:rPr>
            <w:i/>
            <w:color w:val="467886"/>
            <w:u w:val="single"/>
          </w:rPr>
          <w:t>Physical Review Letters</w:t>
        </w:r>
      </w:hyperlink>
      <w:r>
        <w:rPr>
          <w:i/>
          <w:color w:val="000000"/>
        </w:rPr>
        <w:t> 91(8):087206</w:t>
      </w:r>
    </w:p>
    <w:p w14:paraId="1D8D9BF5" w14:textId="77777777" w:rsidR="0098779D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center" w:pos="1067"/>
          <w:tab w:val="center" w:pos="1963"/>
          <w:tab w:val="center" w:pos="2391"/>
          <w:tab w:val="center" w:pos="8050"/>
        </w:tabs>
        <w:spacing w:after="0" w:line="240" w:lineRule="auto"/>
        <w:rPr>
          <w:color w:val="000000"/>
        </w:rPr>
      </w:pPr>
      <w:r>
        <w:rPr>
          <w:b/>
          <w:i/>
          <w:color w:val="000000"/>
        </w:rPr>
        <w:t xml:space="preserve">Observation of Spin Splitting in Room-Temperature Metallic Antiferromagnet </w:t>
      </w:r>
      <w:proofErr w:type="spellStart"/>
      <w:r>
        <w:rPr>
          <w:b/>
          <w:i/>
          <w:color w:val="000000"/>
        </w:rPr>
        <w:t>CrSb</w:t>
      </w:r>
      <w:proofErr w:type="spellEnd"/>
      <w:r>
        <w:rPr>
          <w:b/>
          <w:i/>
          <w:color w:val="000000"/>
        </w:rPr>
        <w:t xml:space="preserve"> </w:t>
      </w:r>
      <w:hyperlink r:id="rId16">
        <w:r>
          <w:rPr>
            <w:i/>
            <w:color w:val="467886"/>
            <w:u w:val="single"/>
          </w:rPr>
          <w:t>Meng Zeng</w:t>
        </w:r>
      </w:hyperlink>
      <w:r>
        <w:rPr>
          <w:i/>
          <w:color w:val="000000"/>
        </w:rPr>
        <w:t>,</w:t>
      </w:r>
      <w:r>
        <w:rPr>
          <w:b/>
          <w:i/>
          <w:color w:val="000000"/>
        </w:rPr>
        <w:t xml:space="preserve"> </w:t>
      </w:r>
      <w:hyperlink r:id="rId17">
        <w:r>
          <w:rPr>
            <w:b/>
            <w:i/>
            <w:color w:val="467886"/>
            <w:u w:val="single"/>
          </w:rPr>
          <w:t>doi.org/10.1002/advs. 02406529</w:t>
        </w:r>
      </w:hyperlink>
      <w:r>
        <w:rPr>
          <w:b/>
          <w:i/>
          <w:color w:val="000000"/>
        </w:rPr>
        <w:t>,</w:t>
      </w:r>
      <w:r>
        <w:rPr>
          <w:i/>
          <w:color w:val="000000"/>
        </w:rPr>
        <w:t xml:space="preserve"> 20 September 2024</w:t>
      </w:r>
    </w:p>
    <w:p w14:paraId="5CA4CAB6" w14:textId="77777777" w:rsidR="0098779D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center" w:pos="1067"/>
          <w:tab w:val="center" w:pos="1963"/>
          <w:tab w:val="center" w:pos="2391"/>
          <w:tab w:val="center" w:pos="8050"/>
        </w:tabs>
        <w:spacing w:after="0" w:line="240" w:lineRule="auto"/>
        <w:rPr>
          <w:color w:val="000000"/>
        </w:rPr>
      </w:pPr>
      <w:r>
        <w:rPr>
          <w:b/>
          <w:i/>
          <w:color w:val="000000"/>
        </w:rPr>
        <w:t xml:space="preserve">Emerging Research Landscape of </w:t>
      </w:r>
      <w:proofErr w:type="spellStart"/>
      <w:r>
        <w:rPr>
          <w:b/>
          <w:i/>
          <w:color w:val="000000"/>
        </w:rPr>
        <w:t>Altermagnetism</w:t>
      </w:r>
      <w:proofErr w:type="spellEnd"/>
      <w:r>
        <w:rPr>
          <w:b/>
          <w:i/>
          <w:color w:val="000000"/>
        </w:rPr>
        <w:t xml:space="preserve"> </w:t>
      </w:r>
      <w:hyperlink r:id="rId18">
        <w:r>
          <w:rPr>
            <w:i/>
            <w:color w:val="467886"/>
            <w:u w:val="single"/>
          </w:rPr>
          <w:t xml:space="preserve">Libor </w:t>
        </w:r>
        <w:proofErr w:type="spellStart"/>
        <w:r>
          <w:rPr>
            <w:i/>
            <w:color w:val="467886"/>
            <w:u w:val="single"/>
          </w:rPr>
          <w:t>Šmejka</w:t>
        </w:r>
        <w:proofErr w:type="spellEnd"/>
      </w:hyperlink>
      <w:r>
        <w:rPr>
          <w:i/>
          <w:color w:val="000000"/>
        </w:rPr>
        <w:t>, Phys. Rev. X </w:t>
      </w:r>
      <w:r>
        <w:rPr>
          <w:b/>
          <w:i/>
          <w:color w:val="000000"/>
        </w:rPr>
        <w:t>12</w:t>
      </w:r>
      <w:r>
        <w:rPr>
          <w:i/>
          <w:color w:val="000000"/>
        </w:rPr>
        <w:t>, 040501,</w:t>
      </w:r>
      <w:r>
        <w:rPr>
          <w:b/>
          <w:i/>
          <w:color w:val="000000"/>
        </w:rPr>
        <w:t>8 December, 2022</w:t>
      </w:r>
    </w:p>
    <w:p w14:paraId="3901979C" w14:textId="77777777" w:rsidR="0098779D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center" w:pos="1067"/>
          <w:tab w:val="center" w:pos="1963"/>
          <w:tab w:val="center" w:pos="2391"/>
          <w:tab w:val="center" w:pos="8050"/>
        </w:tabs>
        <w:spacing w:after="0" w:line="240" w:lineRule="auto"/>
        <w:rPr>
          <w:color w:val="000000"/>
        </w:rPr>
      </w:pPr>
      <w:r>
        <w:rPr>
          <w:b/>
          <w:i/>
          <w:color w:val="000000"/>
        </w:rPr>
        <w:t xml:space="preserve">Spontaneous Formation of </w:t>
      </w:r>
      <w:proofErr w:type="spellStart"/>
      <w:r>
        <w:rPr>
          <w:b/>
          <w:i/>
          <w:color w:val="000000"/>
        </w:rPr>
        <w:t>Altermagnetism</w:t>
      </w:r>
      <w:proofErr w:type="spellEnd"/>
      <w:r>
        <w:rPr>
          <w:b/>
          <w:i/>
          <w:color w:val="000000"/>
        </w:rPr>
        <w:t xml:space="preserve"> from Orbital Ordering </w:t>
      </w:r>
      <w:hyperlink r:id="rId19">
        <w:r>
          <w:rPr>
            <w:i/>
            <w:color w:val="467886"/>
            <w:u w:val="single"/>
          </w:rPr>
          <w:t>Valentin Leeb</w:t>
        </w:r>
      </w:hyperlink>
      <w:r>
        <w:rPr>
          <w:i/>
          <w:color w:val="000000"/>
        </w:rPr>
        <w:t>, Phys. Rev. Lett. </w:t>
      </w:r>
      <w:r>
        <w:rPr>
          <w:b/>
          <w:i/>
          <w:color w:val="000000"/>
        </w:rPr>
        <w:t>132</w:t>
      </w:r>
      <w:r>
        <w:rPr>
          <w:i/>
          <w:color w:val="000000"/>
        </w:rPr>
        <w:t>, 236701,</w:t>
      </w:r>
      <w:r>
        <w:rPr>
          <w:b/>
          <w:i/>
          <w:color w:val="000000"/>
        </w:rPr>
        <w:t xml:space="preserve"> 3 June, 2024</w:t>
      </w:r>
    </w:p>
    <w:p w14:paraId="0D22204E" w14:textId="77777777" w:rsidR="0098779D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center" w:pos="1067"/>
          <w:tab w:val="center" w:pos="1963"/>
          <w:tab w:val="center" w:pos="2391"/>
          <w:tab w:val="center" w:pos="8050"/>
        </w:tabs>
        <w:spacing w:after="0" w:line="240" w:lineRule="auto"/>
        <w:rPr>
          <w:color w:val="000000"/>
        </w:rPr>
      </w:pPr>
      <w:r>
        <w:rPr>
          <w:b/>
          <w:i/>
          <w:color w:val="000000"/>
        </w:rPr>
        <w:t xml:space="preserve">esm2023-wunderlich-slides-2, </w:t>
      </w:r>
      <w:r>
        <w:rPr>
          <w:i/>
          <w:color w:val="000000"/>
        </w:rPr>
        <w:t xml:space="preserve">Talks - </w:t>
      </w:r>
      <w:proofErr w:type="spellStart"/>
      <w:r>
        <w:rPr>
          <w:i/>
          <w:color w:val="000000"/>
        </w:rPr>
        <w:t>Altermagnetism</w:t>
      </w:r>
      <w:proofErr w:type="spellEnd"/>
      <w:r>
        <w:rPr>
          <w:i/>
          <w:color w:val="000000"/>
        </w:rPr>
        <w:t xml:space="preserve"> 2023 - Libor ŠMEJKAL, JGU</w:t>
      </w:r>
    </w:p>
    <w:p w14:paraId="713E01A3" w14:textId="77777777" w:rsidR="0098779D" w:rsidRDefault="00000000">
      <w:pPr>
        <w:tabs>
          <w:tab w:val="center" w:pos="1067"/>
          <w:tab w:val="center" w:pos="1963"/>
          <w:tab w:val="center" w:pos="2391"/>
          <w:tab w:val="center" w:pos="8050"/>
        </w:tabs>
        <w:spacing w:after="0"/>
        <w:ind w:left="0" w:firstLine="0"/>
        <w:jc w:val="left"/>
      </w:pPr>
      <w:r>
        <w:tab/>
        <w:t xml:space="preserve"> </w:t>
      </w:r>
      <w:r>
        <w:tab/>
        <w:t xml:space="preserve"> </w:t>
      </w:r>
      <w:r>
        <w:tab/>
      </w:r>
      <w:r>
        <w:rPr>
          <w:rFonts w:ascii="Calibri" w:eastAsia="Calibri" w:hAnsi="Calibri" w:cs="Calibri"/>
        </w:rPr>
        <w:t xml:space="preserve"> </w:t>
      </w:r>
    </w:p>
    <w:sectPr w:rsidR="0098779D">
      <w:headerReference w:type="default" r:id="rId20"/>
      <w:footerReference w:type="default" r:id="rId21"/>
      <w:pgSz w:w="11900" w:h="16840"/>
      <w:pgMar w:top="1440" w:right="1386" w:bottom="1273" w:left="169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E71F9A" w14:textId="77777777" w:rsidR="00775AB5" w:rsidRDefault="00775AB5">
      <w:pPr>
        <w:spacing w:after="0" w:line="240" w:lineRule="auto"/>
      </w:pPr>
      <w:r>
        <w:separator/>
      </w:r>
    </w:p>
  </w:endnote>
  <w:endnote w:type="continuationSeparator" w:id="0">
    <w:p w14:paraId="1BAC989F" w14:textId="77777777" w:rsidR="00775AB5" w:rsidRDefault="00775A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EEBD99" w14:textId="77777777" w:rsidR="0098779D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</w:pPr>
    <w:r>
      <w:rPr>
        <w:noProof/>
      </w:rPr>
      <w:drawing>
        <wp:anchor distT="0" distB="0" distL="114300" distR="114300" simplePos="0" relativeHeight="251658240" behindDoc="0" locked="0" layoutInCell="1" hidden="0" allowOverlap="1" wp14:anchorId="44E664E2" wp14:editId="55B90DAA">
          <wp:simplePos x="0" y="0"/>
          <wp:positionH relativeFrom="column">
            <wp:posOffset>2</wp:posOffset>
          </wp:positionH>
          <wp:positionV relativeFrom="paragraph">
            <wp:posOffset>155575</wp:posOffset>
          </wp:positionV>
          <wp:extent cx="712470" cy="280670"/>
          <wp:effectExtent l="0" t="0" r="0" b="0"/>
          <wp:wrapSquare wrapText="bothSides" distT="0" distB="0" distL="114300" distR="11430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12470" cy="2806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E81338" w14:textId="77777777" w:rsidR="00775AB5" w:rsidRDefault="00775AB5">
      <w:pPr>
        <w:spacing w:after="0" w:line="240" w:lineRule="auto"/>
      </w:pPr>
      <w:r>
        <w:separator/>
      </w:r>
    </w:p>
  </w:footnote>
  <w:footnote w:type="continuationSeparator" w:id="0">
    <w:p w14:paraId="25443E0F" w14:textId="77777777" w:rsidR="00775AB5" w:rsidRDefault="00775A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DF0912" w14:textId="77777777" w:rsidR="0098779D" w:rsidRDefault="00000000">
    <w:pPr>
      <w:spacing w:after="471"/>
      <w:ind w:left="0" w:right="47" w:firstLine="0"/>
      <w:jc w:val="center"/>
    </w:pPr>
    <w:r>
      <w:rPr>
        <w:rFonts w:ascii="Calibri" w:eastAsia="Calibri" w:hAnsi="Calibri" w:cs="Calibri"/>
        <w:sz w:val="20"/>
        <w:szCs w:val="20"/>
      </w:rPr>
      <w:t xml:space="preserve">Symposium on Physics: Advances in Research and Knowledge (SPARK) 2025 </w:t>
    </w:r>
  </w:p>
  <w:p w14:paraId="316BCCE2" w14:textId="77777777" w:rsidR="0098779D" w:rsidRDefault="0098779D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671216B"/>
    <w:multiLevelType w:val="multilevel"/>
    <w:tmpl w:val="74D483BC"/>
    <w:lvl w:ilvl="0">
      <w:start w:val="1"/>
      <w:numFmt w:val="decimal"/>
      <w:lvlText w:val="[%1]"/>
      <w:lvlJc w:val="left"/>
      <w:pPr>
        <w:ind w:left="1069" w:hanging="360"/>
      </w:pPr>
      <w:rPr>
        <w:i w:val="0"/>
      </w:rPr>
    </w:lvl>
    <w:lvl w:ilvl="1">
      <w:start w:val="1"/>
      <w:numFmt w:val="lowerLetter"/>
      <w:lvlText w:val="%2."/>
      <w:lvlJc w:val="left"/>
      <w:pPr>
        <w:ind w:left="1789" w:hanging="360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num w:numId="1" w16cid:durableId="9208683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8779D"/>
    <w:rsid w:val="00377084"/>
    <w:rsid w:val="00582C82"/>
    <w:rsid w:val="00775AB5"/>
    <w:rsid w:val="008B603B"/>
    <w:rsid w:val="009877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125D95"/>
  <w15:docId w15:val="{732F89E8-CD60-4C71-B2A2-CD6B9635E1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en-IN" w:eastAsia="en-IN" w:bidi="ar-SA"/>
      </w:rPr>
    </w:rPrDefault>
    <w:pPrDefault>
      <w:pPr>
        <w:spacing w:after="42" w:line="259" w:lineRule="auto"/>
        <w:ind w:left="440" w:hanging="10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pBdr>
        <w:top w:val="nil"/>
        <w:left w:val="nil"/>
        <w:bottom w:val="nil"/>
        <w:right w:val="nil"/>
        <w:between w:val="nil"/>
      </w:pBdr>
      <w:spacing w:after="0"/>
      <w:ind w:left="1072" w:hanging="642"/>
      <w:jc w:val="center"/>
      <w:outlineLvl w:val="0"/>
    </w:pPr>
    <w:rPr>
      <w:color w:val="000000"/>
      <w:sz w:val="38"/>
      <w:szCs w:val="3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://dx.doi.org/10.1038/s41535-025-00766-3" TargetMode="External"/><Relationship Id="rId18" Type="http://schemas.openxmlformats.org/officeDocument/2006/relationships/hyperlink" Target="https://journals.aps.org/search/field/author/Libor%20%C5%A0mejkal" TargetMode="External"/><Relationship Id="rId3" Type="http://schemas.openxmlformats.org/officeDocument/2006/relationships/settings" Target="settings.xml"/><Relationship Id="rId21" Type="http://schemas.openxmlformats.org/officeDocument/2006/relationships/footer" Target="footer1.xml"/><Relationship Id="rId7" Type="http://schemas.openxmlformats.org/officeDocument/2006/relationships/image" Target="media/image1.png"/><Relationship Id="rId12" Type="http://schemas.openxmlformats.org/officeDocument/2006/relationships/hyperlink" Target="https://arxiv.org/abs/2408.00320" TargetMode="External"/><Relationship Id="rId17" Type="http://schemas.openxmlformats.org/officeDocument/2006/relationships/hyperlink" Target="https://doi.org/10.1002/advs.202406529" TargetMode="External"/><Relationship Id="rId2" Type="http://schemas.openxmlformats.org/officeDocument/2006/relationships/styles" Target="styles.xml"/><Relationship Id="rId16" Type="http://schemas.openxmlformats.org/officeDocument/2006/relationships/hyperlink" Target="https://advanced.onlinelibrary.wiley.com/authored-by/Zeng/Meng" TargetMode="External"/><Relationship Id="rId20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arxiv.org/search/cond-mat?searchtype=author&amp;query=Jiang,+B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www.researchgate.net/journal/Physical-Review-Letters-1079-7114?_tp=eyJjb250ZXh0Ijp7ImZpcnN0UGFnZSI6InB1YmxpY2F0aW9uIiwicGFnZSI6InB1YmxpY2F0aW9uIiwicG9zaXRpb24iOiJwYWdlSGVhZGVyIn19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www.nature.com/ncomms" TargetMode="External"/><Relationship Id="rId19" Type="http://schemas.openxmlformats.org/officeDocument/2006/relationships/hyperlink" Target="https://journals.aps.org/search/field/author/Valentin%20Leeb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nature.com/articles/s41467-024-46476-5" TargetMode="External"/><Relationship Id="rId14" Type="http://schemas.openxmlformats.org/officeDocument/2006/relationships/hyperlink" Target="http://dx.doi.org/10.1103/PhysRevLett.91.087206" TargetMode="External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759</Words>
  <Characters>4332</Characters>
  <Application>Microsoft Office Word</Application>
  <DocSecurity>0</DocSecurity>
  <Lines>36</Lines>
  <Paragraphs>10</Paragraphs>
  <ScaleCrop>false</ScaleCrop>
  <Company/>
  <LinksUpToDate>false</LinksUpToDate>
  <CharactersWithSpaces>5081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Rotish Sarkar</dc:creator>
  <cp:lastModifiedBy>Rotish Sarkar</cp:lastModifiedBy>
  <cp:revision>2</cp:revision>
  <dcterms:created xsi:type="dcterms:W3CDTF">2025-09-26T15:48:00Z</dcterms:created>
  <dcterms:modified xsi:type="dcterms:W3CDTF">2025-09-26T15:48:00Z</dcterms:modified>
</cp:coreProperties>
</file>