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1DA1" w:rsidRDefault="00FF265C">
      <w:pPr>
        <w:spacing w:after="729"/>
        <w:ind w:left="687" w:firstLine="0"/>
        <w:jc w:val="left"/>
      </w:pPr>
      <w:r>
        <w:rPr>
          <w:i/>
        </w:rPr>
        <w:t xml:space="preserve">Abstract ID: </w:t>
      </w:r>
    </w:p>
    <w:p w:rsidR="00BF1DA1" w:rsidRDefault="003A0DB7">
      <w:pPr>
        <w:pStyle w:val="Heading1"/>
        <w:spacing w:after="122" w:line="242" w:lineRule="auto"/>
        <w:ind w:left="79" w:firstLine="0"/>
      </w:pPr>
      <w:r>
        <w:t xml:space="preserve">Mass spectrum of </w:t>
      </w:r>
      <w:proofErr w:type="spellStart"/>
      <w:r>
        <w:t>tetraquarks</w:t>
      </w:r>
      <w:proofErr w:type="spellEnd"/>
      <w:r>
        <w:t xml:space="preserve"> using WKB approximation</w:t>
      </w:r>
    </w:p>
    <w:p w:rsidR="00BF1DA1" w:rsidRDefault="00FF265C">
      <w:pPr>
        <w:spacing w:after="91"/>
        <w:ind w:left="430" w:firstLine="0"/>
        <w:jc w:val="left"/>
      </w:pPr>
      <w:r>
        <w:rPr>
          <w:b/>
          <w:sz w:val="24"/>
          <w:szCs w:val="24"/>
        </w:rPr>
        <w:t xml:space="preserve"> </w:t>
      </w:r>
    </w:p>
    <w:p w:rsidR="00BF1DA1" w:rsidRDefault="00FF265C">
      <w:pPr>
        <w:spacing w:after="0"/>
        <w:ind w:left="436" w:firstLine="429"/>
        <w:jc w:val="left"/>
      </w:pPr>
      <w:r>
        <w:rPr>
          <w:b/>
          <w:sz w:val="24"/>
          <w:szCs w:val="24"/>
        </w:rPr>
        <w:t>Primary author</w:t>
      </w:r>
      <w:r>
        <w:rPr>
          <w:sz w:val="24"/>
          <w:szCs w:val="24"/>
        </w:rPr>
        <w:t xml:space="preserve">: </w:t>
      </w:r>
      <w:r w:rsidR="003A0DB7">
        <w:rPr>
          <w:b/>
        </w:rPr>
        <w:t>Tanmay Dev</w:t>
      </w:r>
      <w:r w:rsidR="00654C84">
        <w:rPr>
          <w:b/>
        </w:rPr>
        <w:t>*</w:t>
      </w:r>
      <w:r>
        <w:rPr>
          <w:vertAlign w:val="superscript"/>
        </w:rPr>
        <w:t>1</w:t>
      </w:r>
      <w:proofErr w:type="gramStart"/>
      <w:r w:rsidR="00654C84">
        <w:rPr>
          <w:vertAlign w:val="superscript"/>
        </w:rPr>
        <w:t>,3</w:t>
      </w:r>
      <w:proofErr w:type="gramEnd"/>
      <w:r>
        <w:rPr>
          <w:sz w:val="38"/>
          <w:szCs w:val="38"/>
        </w:rPr>
        <w:t xml:space="preserve"> </w:t>
      </w:r>
    </w:p>
    <w:p w:rsidR="00BF1DA1" w:rsidRDefault="00FF265C">
      <w:pPr>
        <w:spacing w:after="41"/>
        <w:ind w:left="436" w:firstLine="429"/>
        <w:jc w:val="left"/>
      </w:pPr>
      <w:r>
        <w:rPr>
          <w:b/>
          <w:sz w:val="24"/>
          <w:szCs w:val="24"/>
        </w:rPr>
        <w:t>Co-author</w:t>
      </w:r>
      <w:r>
        <w:rPr>
          <w:sz w:val="24"/>
          <w:szCs w:val="24"/>
        </w:rPr>
        <w:t xml:space="preserve">: </w:t>
      </w:r>
      <w:proofErr w:type="spellStart"/>
      <w:r w:rsidR="003A0DB7">
        <w:rPr>
          <w:b/>
        </w:rPr>
        <w:t>Bhaskar</w:t>
      </w:r>
      <w:proofErr w:type="spellEnd"/>
      <w:r w:rsidR="003A0DB7">
        <w:rPr>
          <w:b/>
        </w:rPr>
        <w:t xml:space="preserve"> </w:t>
      </w:r>
      <w:proofErr w:type="spellStart"/>
      <w:r w:rsidR="003A0DB7">
        <w:rPr>
          <w:b/>
        </w:rPr>
        <w:t>Jyoti</w:t>
      </w:r>
      <w:proofErr w:type="spellEnd"/>
      <w:r w:rsidR="003A0DB7">
        <w:rPr>
          <w:b/>
        </w:rPr>
        <w:t xml:space="preserve"> Hazarika</w:t>
      </w:r>
      <w:r>
        <w:rPr>
          <w:vertAlign w:val="superscript"/>
        </w:rPr>
        <w:t>2</w:t>
      </w:r>
      <w:r w:rsidR="00654C84">
        <w:rPr>
          <w:vertAlign w:val="superscript"/>
        </w:rPr>
        <w:t>,3</w:t>
      </w:r>
      <w:bookmarkStart w:id="0" w:name="_GoBack"/>
      <w:bookmarkEnd w:id="0"/>
      <w:r>
        <w:t xml:space="preserve"> </w:t>
      </w:r>
    </w:p>
    <w:p w:rsidR="00BF1DA1" w:rsidRDefault="00FF265C">
      <w:pPr>
        <w:ind w:left="433" w:firstLine="430"/>
      </w:pPr>
      <w:r>
        <w:rPr>
          <w:b/>
          <w:sz w:val="24"/>
          <w:szCs w:val="24"/>
        </w:rPr>
        <w:t>Presenter</w:t>
      </w:r>
      <w:r>
        <w:rPr>
          <w:sz w:val="24"/>
          <w:szCs w:val="24"/>
        </w:rPr>
        <w:t xml:space="preserve">: </w:t>
      </w:r>
      <w:r w:rsidR="001E2338">
        <w:t>Tanmay Dev</w:t>
      </w:r>
      <w:r>
        <w:t xml:space="preserve"> </w:t>
      </w:r>
    </w:p>
    <w:p w:rsidR="00BF1DA1" w:rsidRDefault="00FF265C">
      <w:pPr>
        <w:spacing w:after="55"/>
        <w:ind w:left="436" w:firstLine="429"/>
        <w:jc w:val="left"/>
      </w:pPr>
      <w:r>
        <w:rPr>
          <w:b/>
        </w:rPr>
        <w:t>Track Classification</w:t>
      </w:r>
      <w:r w:rsidR="00654C84">
        <w:t>: Track 01</w:t>
      </w:r>
      <w:r>
        <w:t xml:space="preserve"> </w:t>
      </w:r>
    </w:p>
    <w:p w:rsidR="00BF1DA1" w:rsidRDefault="00FF265C">
      <w:pPr>
        <w:spacing w:after="39"/>
        <w:ind w:left="438" w:firstLine="0"/>
        <w:jc w:val="left"/>
      </w:pPr>
      <w:r>
        <w:t xml:space="preserve"> </w:t>
      </w:r>
    </w:p>
    <w:p w:rsidR="00654C84" w:rsidRDefault="00FF265C" w:rsidP="00654C84">
      <w:pPr>
        <w:spacing w:line="347" w:lineRule="auto"/>
        <w:ind w:left="433" w:right="2763" w:firstLine="430"/>
      </w:pPr>
      <w:proofErr w:type="gramStart"/>
      <w:r>
        <w:rPr>
          <w:vertAlign w:val="superscript"/>
        </w:rPr>
        <w:t>1</w:t>
      </w:r>
      <w:proofErr w:type="gramEnd"/>
      <w:r w:rsidR="001E2338">
        <w:t xml:space="preserve"> Department of Physics, </w:t>
      </w:r>
      <w:proofErr w:type="spellStart"/>
      <w:r w:rsidR="001E2338">
        <w:t>Gauhati</w:t>
      </w:r>
      <w:proofErr w:type="spellEnd"/>
      <w:r>
        <w:t xml:space="preserve"> University</w:t>
      </w:r>
      <w:r w:rsidR="00654C84">
        <w:t>, Guwahati</w:t>
      </w:r>
      <w:r>
        <w:t xml:space="preserve">  </w:t>
      </w:r>
    </w:p>
    <w:p w:rsidR="00BF1DA1" w:rsidRDefault="00FF265C">
      <w:pPr>
        <w:spacing w:line="347" w:lineRule="auto"/>
        <w:ind w:left="433" w:right="2763" w:firstLine="430"/>
      </w:pPr>
      <w:proofErr w:type="gramStart"/>
      <w:r>
        <w:rPr>
          <w:vertAlign w:val="superscript"/>
        </w:rPr>
        <w:t>2</w:t>
      </w:r>
      <w:proofErr w:type="gramEnd"/>
      <w:r w:rsidR="00654C84">
        <w:t xml:space="preserve"> Administrative Department, North </w:t>
      </w:r>
      <w:proofErr w:type="spellStart"/>
      <w:r w:rsidR="00654C84">
        <w:t>Gauhati</w:t>
      </w:r>
      <w:proofErr w:type="spellEnd"/>
      <w:r w:rsidR="00654C84">
        <w:t xml:space="preserve"> College, Guwahati</w:t>
      </w:r>
      <w:r>
        <w:t xml:space="preserve"> </w:t>
      </w:r>
      <w:r>
        <w:t xml:space="preserve"> </w:t>
      </w:r>
    </w:p>
    <w:p w:rsidR="00654C84" w:rsidRDefault="00654C84">
      <w:pPr>
        <w:spacing w:line="347" w:lineRule="auto"/>
        <w:ind w:left="433" w:right="2763" w:firstLine="430"/>
      </w:pPr>
      <w:proofErr w:type="gramStart"/>
      <w:r>
        <w:rPr>
          <w:vertAlign w:val="superscript"/>
        </w:rPr>
        <w:t>3</w:t>
      </w:r>
      <w:proofErr w:type="gramEnd"/>
      <w:r>
        <w:t xml:space="preserve"> Center of Theoretical Studies, Pandu College, Guwahati</w:t>
      </w:r>
    </w:p>
    <w:p w:rsidR="00BF1DA1" w:rsidRDefault="00BF1DA1">
      <w:pPr>
        <w:spacing w:line="347" w:lineRule="auto"/>
        <w:ind w:left="433" w:right="2763" w:firstLine="430"/>
      </w:pPr>
    </w:p>
    <w:p w:rsidR="00BF1DA1" w:rsidRDefault="00FF265C">
      <w:pPr>
        <w:spacing w:line="347" w:lineRule="auto"/>
        <w:ind w:left="433" w:right="2763" w:firstLine="430"/>
      </w:pPr>
      <w:r>
        <w:t xml:space="preserve">*Corresponding Author: </w:t>
      </w:r>
      <w:r w:rsidR="00654C84">
        <w:rPr>
          <w:i/>
          <w:sz w:val="20"/>
          <w:szCs w:val="20"/>
        </w:rPr>
        <w:t>tanmaydev177@gmail.com</w:t>
      </w:r>
    </w:p>
    <w:p w:rsidR="00BF1DA1" w:rsidRDefault="00FF265C">
      <w:pPr>
        <w:spacing w:after="128"/>
        <w:ind w:left="557" w:firstLine="0"/>
        <w:jc w:val="center"/>
      </w:pPr>
      <w:r>
        <w:rPr>
          <w:sz w:val="38"/>
          <w:szCs w:val="38"/>
        </w:rPr>
        <w:t xml:space="preserve"> </w:t>
      </w:r>
    </w:p>
    <w:p w:rsidR="00B5234D" w:rsidRDefault="00FF265C" w:rsidP="00B5234D">
      <w:pPr>
        <w:ind w:left="430" w:firstLine="0"/>
      </w:pPr>
      <w:r>
        <w:t xml:space="preserve">Abstract: </w:t>
      </w:r>
      <w:r w:rsidR="005F1E48">
        <w:t xml:space="preserve">In this work, we extend the </w:t>
      </w:r>
      <w:proofErr w:type="spellStart"/>
      <w:r w:rsidR="005F1E48">
        <w:t>semiclassical</w:t>
      </w:r>
      <w:proofErr w:type="spellEnd"/>
      <w:r w:rsidR="005F1E48">
        <w:t xml:space="preserve"> WKB (</w:t>
      </w:r>
      <w:proofErr w:type="spellStart"/>
      <w:r w:rsidR="005F1E48">
        <w:t>Wentzel</w:t>
      </w:r>
      <w:proofErr w:type="spellEnd"/>
      <w:r w:rsidR="005F1E48">
        <w:t>–</w:t>
      </w:r>
      <w:proofErr w:type="spellStart"/>
      <w:r w:rsidR="005F1E48">
        <w:t>Kramers</w:t>
      </w:r>
      <w:proofErr w:type="spellEnd"/>
      <w:r w:rsidR="005F1E48">
        <w:t xml:space="preserve">–Brillouin) approximation method, previously applied with success to heavy quark–antiquark (meson) systems, to the more challenging and less understood domain of </w:t>
      </w:r>
      <w:proofErr w:type="spellStart"/>
      <w:r w:rsidR="005F1E48">
        <w:t>tetraquark</w:t>
      </w:r>
      <w:proofErr w:type="spellEnd"/>
      <w:r w:rsidR="005F1E48">
        <w:t xml:space="preserve"> states. </w:t>
      </w:r>
      <w:proofErr w:type="spellStart"/>
      <w:r w:rsidR="005F1E48">
        <w:t>Tetraquarks</w:t>
      </w:r>
      <w:proofErr w:type="spellEnd"/>
      <w:r w:rsidR="005F1E48">
        <w:t xml:space="preserve">, exotic states composed of two quarks and two antiquarks, provide a unique window into the dynamics of </w:t>
      </w:r>
      <w:proofErr w:type="spellStart"/>
      <w:r w:rsidR="005F1E48">
        <w:t>multiquark</w:t>
      </w:r>
      <w:proofErr w:type="spellEnd"/>
      <w:r w:rsidR="005F1E48">
        <w:t xml:space="preserve"> interactions and the non-perturbative regime of Quantum Chromodynamics (QCD). Understanding their mass spectrum is crucial for both theoretical hadron spectroscopy and experimental searches for new states observed at facilities such as </w:t>
      </w:r>
      <w:proofErr w:type="spellStart"/>
      <w:r w:rsidR="005F1E48">
        <w:t>LHCb</w:t>
      </w:r>
      <w:proofErr w:type="spellEnd"/>
      <w:r w:rsidR="005F1E48">
        <w:t>, Belle II, and BESIII.</w:t>
      </w:r>
      <w:r w:rsidR="005F1E48" w:rsidRPr="005F1E48">
        <w:t xml:space="preserve"> </w:t>
      </w:r>
      <w:r w:rsidR="005F1E48">
        <w:t xml:space="preserve">To make the problem tractable, we adopt the </w:t>
      </w:r>
      <w:proofErr w:type="spellStart"/>
      <w:r w:rsidR="005F1E48">
        <w:t>diquark</w:t>
      </w:r>
      <w:proofErr w:type="spellEnd"/>
      <w:r w:rsidR="005F1E48">
        <w:t>–</w:t>
      </w:r>
      <w:proofErr w:type="spellStart"/>
      <w:r w:rsidR="005F1E48">
        <w:t>antidiquark</w:t>
      </w:r>
      <w:proofErr w:type="spellEnd"/>
      <w:r w:rsidR="005F1E48">
        <w:t xml:space="preserve"> picture. In this framework, the </w:t>
      </w:r>
      <w:proofErr w:type="spellStart"/>
      <w:r w:rsidR="005F1E48">
        <w:t>tetraquark</w:t>
      </w:r>
      <w:proofErr w:type="spellEnd"/>
      <w:r w:rsidR="005F1E48">
        <w:t xml:space="preserve"> </w:t>
      </w:r>
      <w:proofErr w:type="gramStart"/>
      <w:r w:rsidR="005F1E48">
        <w:t>is treated</w:t>
      </w:r>
      <w:proofErr w:type="gramEnd"/>
      <w:r w:rsidR="005F1E48">
        <w:t xml:space="preserve"> as two clusters—a </w:t>
      </w:r>
      <w:proofErr w:type="spellStart"/>
      <w:r w:rsidR="005F1E48">
        <w:t>diquark</w:t>
      </w:r>
      <w:proofErr w:type="spellEnd"/>
      <w:r w:rsidR="005F1E48">
        <w:t xml:space="preserve"> and </w:t>
      </w:r>
      <w:r w:rsidR="005F1E48">
        <w:t xml:space="preserve">an </w:t>
      </w:r>
      <w:proofErr w:type="spellStart"/>
      <w:r w:rsidR="005F1E48">
        <w:t>antidiquar</w:t>
      </w:r>
      <w:r w:rsidR="00B5234D">
        <w:t>k</w:t>
      </w:r>
      <w:proofErr w:type="spellEnd"/>
      <w:r w:rsidR="005F1E48">
        <w:t xml:space="preserve"> </w:t>
      </w:r>
      <w:r w:rsidR="005F1E48">
        <w:t xml:space="preserve">bound together by an effective potential. This reduction simplifies the four-body system into a quasi-two-body problem, allowing us to apply powerful </w:t>
      </w:r>
      <w:proofErr w:type="spellStart"/>
      <w:r w:rsidR="005F1E48">
        <w:t>semiclassical</w:t>
      </w:r>
      <w:proofErr w:type="spellEnd"/>
      <w:r w:rsidR="005F1E48">
        <w:t xml:space="preserve"> techniques </w:t>
      </w:r>
      <w:proofErr w:type="gramStart"/>
      <w:r w:rsidR="005F1E48">
        <w:t>while still</w:t>
      </w:r>
      <w:proofErr w:type="gramEnd"/>
      <w:r w:rsidR="005F1E48">
        <w:t xml:space="preserve"> retaining essential </w:t>
      </w:r>
      <w:r w:rsidR="005F1E48">
        <w:t xml:space="preserve">features of </w:t>
      </w:r>
      <w:proofErr w:type="spellStart"/>
      <w:r w:rsidR="005F1E48">
        <w:t>multiquark</w:t>
      </w:r>
      <w:proofErr w:type="spellEnd"/>
      <w:r w:rsidR="005F1E48">
        <w:t xml:space="preserve"> dynamics.</w:t>
      </w:r>
      <w:r w:rsidR="005F1E48" w:rsidRPr="005F1E48">
        <w:t xml:space="preserve"> </w:t>
      </w:r>
      <w:r w:rsidR="005F1E48">
        <w:t xml:space="preserve">The interaction </w:t>
      </w:r>
      <w:proofErr w:type="gramStart"/>
      <w:r w:rsidR="005F1E48">
        <w:t>is described</w:t>
      </w:r>
      <w:proofErr w:type="gramEnd"/>
      <w:r w:rsidR="005F1E48">
        <w:t xml:space="preserve"> by a generalized Cornell potential that combines shor</w:t>
      </w:r>
      <w:r w:rsidR="00B5234D">
        <w:t xml:space="preserve">t-range </w:t>
      </w:r>
      <w:proofErr w:type="spellStart"/>
      <w:r w:rsidR="00B5234D">
        <w:t>c</w:t>
      </w:r>
      <w:r w:rsidR="005F1E48">
        <w:t>oulombic</w:t>
      </w:r>
      <w:proofErr w:type="spellEnd"/>
      <w:r w:rsidR="005F1E48">
        <w:t xml:space="preserve"> and long-range confining terms. Applying the </w:t>
      </w:r>
      <w:r w:rsidR="005F1E48">
        <w:t xml:space="preserve">leading order </w:t>
      </w:r>
      <w:r w:rsidR="005F1E48">
        <w:t>WKB quantization condition to the effective radial</w:t>
      </w:r>
      <w:r w:rsidR="005F1E48">
        <w:t xml:space="preserve"> Schrödinger </w:t>
      </w:r>
      <w:r w:rsidR="005F1E48">
        <w:t>equation yields approximate analytic expressions for ground and excited state masses.</w:t>
      </w:r>
      <w:r w:rsidR="00B5234D" w:rsidRPr="00B5234D">
        <w:t xml:space="preserve"> </w:t>
      </w:r>
      <w:r w:rsidR="00B5234D">
        <w:t>Near the classical turning points, we expand the potential around a suita</w:t>
      </w:r>
      <w:r w:rsidR="00B5234D">
        <w:t>ble equilibrium point r0 using</w:t>
      </w:r>
      <w:r w:rsidR="00B5234D">
        <w:t xml:space="preserve"> Taylor series</w:t>
      </w:r>
      <w:r w:rsidR="00B5234D">
        <w:t xml:space="preserve"> expansion</w:t>
      </w:r>
      <w:r w:rsidR="00B5234D">
        <w:t xml:space="preserve">. This approximation makes it possible to reduce the radial Schrödinger equation into a form suitable for the application of the WKB quantization condition. By imposing the standard WKB quantization integral, we derive analytic expressions for the energy eigenvalues that correspond to the </w:t>
      </w:r>
      <w:proofErr w:type="spellStart"/>
      <w:r w:rsidR="00B5234D">
        <w:t>tetraquark</w:t>
      </w:r>
      <w:proofErr w:type="spellEnd"/>
      <w:r w:rsidR="00B5234D">
        <w:t xml:space="preserve"> mass spectrum.</w:t>
      </w:r>
      <w:r w:rsidR="00B5234D" w:rsidRPr="00B5234D">
        <w:t xml:space="preserve"> </w:t>
      </w:r>
      <w:r w:rsidR="00B5234D">
        <w:t xml:space="preserve">This work demonstrates that the WKB approach provides a practical semi-analytic framework for exploring exotic </w:t>
      </w:r>
      <w:proofErr w:type="spellStart"/>
      <w:r w:rsidR="00B5234D">
        <w:t>tetraquarks</w:t>
      </w:r>
      <w:proofErr w:type="spellEnd"/>
      <w:r w:rsidR="00B5234D">
        <w:t xml:space="preserve"> and guiding experimental searches</w:t>
      </w:r>
    </w:p>
    <w:p w:rsidR="00B5234D" w:rsidRDefault="00B5234D" w:rsidP="00B5234D">
      <w:pPr>
        <w:spacing w:after="0"/>
        <w:ind w:left="242" w:firstLine="438"/>
      </w:pPr>
    </w:p>
    <w:p w:rsidR="00B5234D" w:rsidRDefault="00B5234D" w:rsidP="00B5234D"/>
    <w:p w:rsidR="00BF1DA1" w:rsidRDefault="00BF1DA1">
      <w:pPr>
        <w:spacing w:after="0"/>
        <w:ind w:left="242" w:firstLine="438"/>
      </w:pPr>
    </w:p>
    <w:p w:rsidR="00BF1DA1" w:rsidRDefault="00FF265C">
      <w:pPr>
        <w:spacing w:after="0"/>
        <w:ind w:left="242" w:hanging="61"/>
      </w:pPr>
      <w:r>
        <w:t>References:</w:t>
      </w:r>
    </w:p>
    <w:p w:rsidR="00BF1DA1" w:rsidRDefault="00FF265C">
      <w:pPr>
        <w:spacing w:after="0"/>
        <w:ind w:left="242" w:hanging="61"/>
        <w:rPr>
          <w:i/>
        </w:rPr>
      </w:pPr>
      <w:r>
        <w:lastRenderedPageBreak/>
        <w:t>[1]</w:t>
      </w:r>
      <w:r>
        <w:rPr>
          <w:i/>
        </w:rPr>
        <w:t xml:space="preserve"> </w:t>
      </w:r>
      <w:r w:rsidR="00B5234D">
        <w:t xml:space="preserve">B. J. Hazarika and T. Dev, “Mass Spectrum of Heavy Mesons using WKB Approximation,” </w:t>
      </w:r>
      <w:proofErr w:type="spellStart"/>
      <w:r w:rsidR="00B5234D">
        <w:rPr>
          <w:rStyle w:val="Emphasis"/>
        </w:rPr>
        <w:t>arXiv</w:t>
      </w:r>
      <w:proofErr w:type="spellEnd"/>
      <w:r w:rsidR="00B5234D">
        <w:rPr>
          <w:rStyle w:val="Emphasis"/>
        </w:rPr>
        <w:t xml:space="preserve"> preprint arXiv</w:t>
      </w:r>
      <w:proofErr w:type="gramStart"/>
      <w:r w:rsidR="00B5234D">
        <w:rPr>
          <w:rStyle w:val="Emphasis"/>
        </w:rPr>
        <w:t>:2508.06102</w:t>
      </w:r>
      <w:proofErr w:type="gramEnd"/>
      <w:r w:rsidR="00B5234D">
        <w:t>, Aug. 2025</w:t>
      </w:r>
    </w:p>
    <w:p w:rsidR="00BF1DA1" w:rsidRDefault="00FF265C">
      <w:pPr>
        <w:spacing w:after="0"/>
        <w:ind w:left="242" w:hanging="61"/>
      </w:pPr>
      <w:r>
        <w:t>[2]</w:t>
      </w:r>
      <w:r>
        <w:rPr>
          <w:i/>
        </w:rPr>
        <w:t xml:space="preserve"> </w:t>
      </w:r>
      <w:r w:rsidR="00B5234D">
        <w:t xml:space="preserve">E. </w:t>
      </w:r>
      <w:proofErr w:type="spellStart"/>
      <w:r w:rsidR="00B5234D">
        <w:t>Omugbe</w:t>
      </w:r>
      <w:proofErr w:type="spellEnd"/>
      <w:r w:rsidR="00B5234D">
        <w:t xml:space="preserve">, O. E. </w:t>
      </w:r>
      <w:proofErr w:type="spellStart"/>
      <w:r w:rsidR="00B5234D">
        <w:t>Osafile</w:t>
      </w:r>
      <w:proofErr w:type="spellEnd"/>
      <w:r w:rsidR="00B5234D">
        <w:t xml:space="preserve">, and M. C. </w:t>
      </w:r>
      <w:proofErr w:type="spellStart"/>
      <w:r w:rsidR="00B5234D">
        <w:t>Onyeaju</w:t>
      </w:r>
      <w:proofErr w:type="spellEnd"/>
      <w:r w:rsidR="00B5234D">
        <w:t xml:space="preserve">, “Mass Spectrum of Mesons via the WKB Approximation Method,” </w:t>
      </w:r>
      <w:r w:rsidR="00B5234D">
        <w:rPr>
          <w:rStyle w:val="Emphasis"/>
        </w:rPr>
        <w:t>Advances in High Energy Physics</w:t>
      </w:r>
      <w:r w:rsidR="00B5234D">
        <w:t>, vol. 2020, Article ID 5901464, Jul. 2020.</w:t>
      </w:r>
    </w:p>
    <w:p w:rsidR="00BF1DA1" w:rsidRDefault="00FF265C">
      <w:pPr>
        <w:tabs>
          <w:tab w:val="center" w:pos="1067"/>
          <w:tab w:val="center" w:pos="1963"/>
          <w:tab w:val="center" w:pos="2391"/>
          <w:tab w:val="center" w:pos="8050"/>
        </w:tabs>
        <w:spacing w:after="0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</w:rPr>
        <w:t xml:space="preserve"> </w:t>
      </w:r>
    </w:p>
    <w:sectPr w:rsidR="00BF1DA1">
      <w:headerReference w:type="default" r:id="rId7"/>
      <w:footerReference w:type="default" r:id="rId8"/>
      <w:pgSz w:w="11900" w:h="16840"/>
      <w:pgMar w:top="1440" w:right="1386" w:bottom="1273" w:left="169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265C" w:rsidRDefault="00FF265C">
      <w:pPr>
        <w:spacing w:after="0" w:line="240" w:lineRule="auto"/>
      </w:pPr>
      <w:r>
        <w:separator/>
      </w:r>
    </w:p>
  </w:endnote>
  <w:endnote w:type="continuationSeparator" w:id="0">
    <w:p w:rsidR="00FF265C" w:rsidRDefault="00FF26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Times New Roman"/>
    <w:panose1 w:val="00000000000000000000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pto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1DA1" w:rsidRDefault="00FF265C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1</wp:posOffset>
          </wp:positionH>
          <wp:positionV relativeFrom="paragraph">
            <wp:posOffset>155575</wp:posOffset>
          </wp:positionV>
          <wp:extent cx="712470" cy="280670"/>
          <wp:effectExtent l="0" t="0" r="0" b="0"/>
          <wp:wrapSquare wrapText="bothSides" distT="0" distB="0" distL="114300" distR="114300"/>
          <wp:docPr id="1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2470" cy="2806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265C" w:rsidRDefault="00FF265C">
      <w:pPr>
        <w:spacing w:after="0" w:line="240" w:lineRule="auto"/>
      </w:pPr>
      <w:r>
        <w:separator/>
      </w:r>
    </w:p>
  </w:footnote>
  <w:footnote w:type="continuationSeparator" w:id="0">
    <w:p w:rsidR="00FF265C" w:rsidRDefault="00FF26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1DA1" w:rsidRDefault="00FF265C">
    <w:pPr>
      <w:spacing w:after="471"/>
      <w:ind w:left="0" w:right="47" w:firstLine="0"/>
      <w:jc w:val="center"/>
    </w:pPr>
    <w:r>
      <w:rPr>
        <w:rFonts w:ascii="Calibri" w:eastAsia="Calibri" w:hAnsi="Calibri" w:cs="Calibri"/>
        <w:sz w:val="20"/>
        <w:szCs w:val="20"/>
      </w:rPr>
      <w:t xml:space="preserve">Symposium on Physics: Advances in Research and Knowledge (SPARK) 2025 </w:t>
    </w:r>
  </w:p>
  <w:p w:rsidR="00BF1DA1" w:rsidRDefault="00BF1DA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1DA1"/>
    <w:rsid w:val="001E2338"/>
    <w:rsid w:val="003A0DB7"/>
    <w:rsid w:val="005F1E48"/>
    <w:rsid w:val="00654C84"/>
    <w:rsid w:val="00B5234D"/>
    <w:rsid w:val="00BF1DA1"/>
    <w:rsid w:val="00FF2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1BBAC"/>
  <w15:docId w15:val="{E79A24B4-506E-41D9-A356-E2396B1B3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i-IN"/>
      </w:rPr>
    </w:rPrDefault>
    <w:pPrDefault>
      <w:pPr>
        <w:spacing w:after="42" w:line="259" w:lineRule="auto"/>
        <w:ind w:left="440" w:hanging="1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0"/>
      <w:ind w:left="1072"/>
      <w:jc w:val="center"/>
      <w:outlineLvl w:val="0"/>
    </w:pPr>
    <w:rPr>
      <w:color w:val="000000"/>
      <w:sz w:val="3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color w:val="000000"/>
      <w:sz w:val="38"/>
    </w:rPr>
  </w:style>
  <w:style w:type="paragraph" w:styleId="Header">
    <w:name w:val="header"/>
    <w:basedOn w:val="Normal"/>
    <w:link w:val="Head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6E42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2A8"/>
    <w:rPr>
      <w:rFonts w:ascii="Times New Roman" w:eastAsia="Times New Roman" w:hAnsi="Times New Roman" w:cs="Times New Roman"/>
      <w:color w:val="000000"/>
      <w:sz w:val="2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Emphasis">
    <w:name w:val="Emphasis"/>
    <w:basedOn w:val="DefaultParagraphFont"/>
    <w:uiPriority w:val="20"/>
    <w:qFormat/>
    <w:rsid w:val="00B5234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gVU5xMC2s51rTXKu0MGxilv5qw==">CgMxLjA4AHIhMTFqNWQ0RHp1aVVrZlFiUG1YTHlpajZydlNOUWpWa1pz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Dipankar Chetia</dc:creator>
  <cp:lastModifiedBy>Tanmay Dev</cp:lastModifiedBy>
  <cp:revision>2</cp:revision>
  <dcterms:created xsi:type="dcterms:W3CDTF">2025-09-20T13:25:00Z</dcterms:created>
  <dcterms:modified xsi:type="dcterms:W3CDTF">2025-09-20T13:25:00Z</dcterms:modified>
</cp:coreProperties>
</file>