
<file path=[Content_Types].xml><?xml version="1.0" encoding="utf-8"?>
<Types xmlns="http://schemas.openxmlformats.org/package/2006/content-types">
  <Default ContentType="image/jpeg" Extension="jpg"/>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729" w:lineRule="auto"/>
        <w:ind w:left="687" w:firstLine="0"/>
        <w:jc w:val="left"/>
        <w:rPr/>
      </w:pPr>
      <w:r w:rsidDel="00000000" w:rsidR="00000000" w:rsidRPr="00000000">
        <w:rPr>
          <w:i w:val="1"/>
          <w:rtl w:val="0"/>
        </w:rPr>
        <w:t xml:space="preserve">Abstract ID: {</w:t>
      </w:r>
      <w:r w:rsidDel="00000000" w:rsidR="00000000" w:rsidRPr="00000000">
        <w:rPr>
          <w:i w:val="1"/>
          <w:highlight w:val="yellow"/>
          <w:rtl w:val="0"/>
        </w:rPr>
        <w:t xml:space="preserve">to be filled by the organizers</w:t>
      </w:r>
      <w:r w:rsidDel="00000000" w:rsidR="00000000" w:rsidRPr="00000000">
        <w:rPr>
          <w:i w:val="1"/>
          <w:rtl w:val="0"/>
        </w:rPr>
        <w:t xml:space="preserve">} </w:t>
      </w:r>
      <w:r w:rsidDel="00000000" w:rsidR="00000000" w:rsidRPr="00000000">
        <w:rPr>
          <w:rtl w:val="0"/>
        </w:rPr>
      </w:r>
    </w:p>
    <w:p w:rsidR="00000000" w:rsidDel="00000000" w:rsidP="00000000" w:rsidRDefault="00000000" w:rsidRPr="00000000" w14:paraId="00000002">
      <w:pPr>
        <w:pStyle w:val="Heading1"/>
        <w:spacing w:after="122" w:line="242" w:lineRule="auto"/>
        <w:ind w:left="79" w:firstLine="0"/>
        <w:rPr/>
      </w:pPr>
      <w:r w:rsidDel="00000000" w:rsidR="00000000" w:rsidRPr="00000000">
        <w:rPr>
          <w:rtl w:val="0"/>
        </w:rPr>
        <w:t xml:space="preserve">Distinguishing CPT-Odd and CPT-Even Contributions of Lorentz Invariance Violation in Neutrino Oscillations</w:t>
      </w:r>
    </w:p>
    <w:p w:rsidR="00000000" w:rsidDel="00000000" w:rsidP="00000000" w:rsidRDefault="00000000" w:rsidRPr="00000000" w14:paraId="00000003">
      <w:pPr>
        <w:spacing w:after="91" w:lineRule="auto"/>
        <w:ind w:left="430" w:firstLine="0"/>
        <w:jc w:val="left"/>
        <w:rPr/>
      </w:pPr>
      <w:r w:rsidDel="00000000" w:rsidR="00000000" w:rsidRPr="00000000">
        <w:rPr>
          <w:b w:val="1"/>
          <w:sz w:val="24"/>
          <w:szCs w:val="24"/>
          <w:rtl w:val="0"/>
        </w:rPr>
        <w:t xml:space="preserve"> </w:t>
      </w:r>
      <w:r w:rsidDel="00000000" w:rsidR="00000000" w:rsidRPr="00000000">
        <w:rPr>
          <w:rtl w:val="0"/>
        </w:rPr>
      </w:r>
    </w:p>
    <w:p w:rsidR="00000000" w:rsidDel="00000000" w:rsidP="00000000" w:rsidRDefault="00000000" w:rsidRPr="00000000" w14:paraId="00000004">
      <w:pPr>
        <w:spacing w:after="0" w:lineRule="auto"/>
        <w:ind w:left="436" w:firstLine="429.99999999999994"/>
        <w:jc w:val="left"/>
        <w:rPr/>
      </w:pPr>
      <w:r w:rsidDel="00000000" w:rsidR="00000000" w:rsidRPr="00000000">
        <w:rPr>
          <w:b w:val="1"/>
          <w:sz w:val="24"/>
          <w:szCs w:val="24"/>
          <w:rtl w:val="0"/>
        </w:rPr>
        <w:t xml:space="preserve">Primary author</w:t>
      </w:r>
      <w:r w:rsidDel="00000000" w:rsidR="00000000" w:rsidRPr="00000000">
        <w:rPr>
          <w:sz w:val="24"/>
          <w:szCs w:val="24"/>
          <w:rtl w:val="0"/>
        </w:rPr>
        <w:t xml:space="preserve">: </w:t>
      </w:r>
      <w:r w:rsidDel="00000000" w:rsidR="00000000" w:rsidRPr="00000000">
        <w:rPr>
          <w:b w:val="1"/>
          <w:rtl w:val="0"/>
        </w:rPr>
        <w:t xml:space="preserve">Priyankush Deka*</w:t>
      </w:r>
      <w:r w:rsidDel="00000000" w:rsidR="00000000" w:rsidRPr="00000000">
        <w:rPr>
          <w:vertAlign w:val="superscript"/>
          <w:rtl w:val="0"/>
        </w:rPr>
        <w:t xml:space="preserve">1</w:t>
      </w:r>
      <w:r w:rsidDel="00000000" w:rsidR="00000000" w:rsidRPr="00000000">
        <w:rPr>
          <w:sz w:val="38"/>
          <w:szCs w:val="38"/>
          <w:rtl w:val="0"/>
        </w:rPr>
        <w:t xml:space="preserve"> </w:t>
      </w:r>
      <w:r w:rsidDel="00000000" w:rsidR="00000000" w:rsidRPr="00000000">
        <w:rPr>
          <w:rtl w:val="0"/>
        </w:rPr>
      </w:r>
    </w:p>
    <w:p w:rsidR="00000000" w:rsidDel="00000000" w:rsidP="00000000" w:rsidRDefault="00000000" w:rsidRPr="00000000" w14:paraId="00000005">
      <w:pPr>
        <w:spacing w:after="41" w:lineRule="auto"/>
        <w:ind w:left="436" w:firstLine="429.99999999999994"/>
        <w:jc w:val="left"/>
        <w:rPr/>
      </w:pPr>
      <w:r w:rsidDel="00000000" w:rsidR="00000000" w:rsidRPr="00000000">
        <w:rPr>
          <w:b w:val="1"/>
          <w:sz w:val="24"/>
          <w:szCs w:val="24"/>
          <w:rtl w:val="0"/>
        </w:rPr>
        <w:t xml:space="preserve">Co-author</w:t>
      </w:r>
      <w:r w:rsidDel="00000000" w:rsidR="00000000" w:rsidRPr="00000000">
        <w:rPr>
          <w:sz w:val="24"/>
          <w:szCs w:val="24"/>
          <w:rtl w:val="0"/>
        </w:rPr>
        <w:t xml:space="preserve">: </w:t>
      </w:r>
      <w:r w:rsidDel="00000000" w:rsidR="00000000" w:rsidRPr="00000000">
        <w:rPr>
          <w:b w:val="1"/>
          <w:rtl w:val="0"/>
        </w:rPr>
        <w:t xml:space="preserve">Arnab Sarker</w:t>
      </w:r>
      <w:r w:rsidDel="00000000" w:rsidR="00000000" w:rsidRPr="00000000">
        <w:rPr>
          <w:vertAlign w:val="superscript"/>
          <w:rtl w:val="0"/>
        </w:rPr>
        <w:t xml:space="preserve">1</w:t>
      </w:r>
      <w:r w:rsidDel="00000000" w:rsidR="00000000" w:rsidRPr="00000000">
        <w:rPr>
          <w:b w:val="1"/>
          <w:rtl w:val="0"/>
        </w:rPr>
        <w:t xml:space="preserve">, Moon Moon Devi</w:t>
      </w:r>
      <w:r w:rsidDel="00000000" w:rsidR="00000000" w:rsidRPr="00000000">
        <w:rPr>
          <w:vertAlign w:val="superscript"/>
          <w:rtl w:val="0"/>
        </w:rPr>
        <w:t xml:space="preserve">1</w:t>
      </w:r>
      <w:r w:rsidDel="00000000" w:rsidR="00000000" w:rsidRPr="00000000">
        <w:rPr>
          <w:rtl w:val="0"/>
        </w:rPr>
        <w:t xml:space="preserve"> </w:t>
      </w:r>
    </w:p>
    <w:p w:rsidR="00000000" w:rsidDel="00000000" w:rsidP="00000000" w:rsidRDefault="00000000" w:rsidRPr="00000000" w14:paraId="00000006">
      <w:pPr>
        <w:ind w:left="433" w:firstLine="430"/>
        <w:rPr/>
      </w:pPr>
      <w:r w:rsidDel="00000000" w:rsidR="00000000" w:rsidRPr="00000000">
        <w:rPr>
          <w:b w:val="1"/>
          <w:sz w:val="24"/>
          <w:szCs w:val="24"/>
          <w:rtl w:val="0"/>
        </w:rPr>
        <w:t xml:space="preserve">Presenter</w:t>
      </w:r>
      <w:r w:rsidDel="00000000" w:rsidR="00000000" w:rsidRPr="00000000">
        <w:rPr>
          <w:sz w:val="24"/>
          <w:szCs w:val="24"/>
          <w:rtl w:val="0"/>
        </w:rPr>
        <w:t xml:space="preserve">: </w:t>
      </w:r>
      <w:r w:rsidDel="00000000" w:rsidR="00000000" w:rsidRPr="00000000">
        <w:rPr>
          <w:rtl w:val="0"/>
        </w:rPr>
        <w:t xml:space="preserve">Priyankush Deka </w:t>
      </w:r>
    </w:p>
    <w:p w:rsidR="00000000" w:rsidDel="00000000" w:rsidP="00000000" w:rsidRDefault="00000000" w:rsidRPr="00000000" w14:paraId="00000007">
      <w:pPr>
        <w:spacing w:after="55" w:lineRule="auto"/>
        <w:ind w:left="436" w:firstLine="429.99999999999994"/>
        <w:jc w:val="left"/>
        <w:rPr/>
      </w:pPr>
      <w:r w:rsidDel="00000000" w:rsidR="00000000" w:rsidRPr="00000000">
        <w:rPr>
          <w:b w:val="1"/>
          <w:rtl w:val="0"/>
        </w:rPr>
        <w:t xml:space="preserve">Track Classification</w:t>
      </w:r>
      <w:r w:rsidDel="00000000" w:rsidR="00000000" w:rsidRPr="00000000">
        <w:rPr>
          <w:rtl w:val="0"/>
        </w:rPr>
        <w:t xml:space="preserve">: Track 01 </w:t>
      </w:r>
    </w:p>
    <w:p w:rsidR="00000000" w:rsidDel="00000000" w:rsidP="00000000" w:rsidRDefault="00000000" w:rsidRPr="00000000" w14:paraId="00000008">
      <w:pPr>
        <w:spacing w:after="39" w:lineRule="auto"/>
        <w:ind w:left="438" w:firstLine="0"/>
        <w:jc w:val="left"/>
        <w:rPr/>
      </w:pPr>
      <w:r w:rsidDel="00000000" w:rsidR="00000000" w:rsidRPr="00000000">
        <w:rPr>
          <w:rtl w:val="0"/>
        </w:rPr>
        <w:t xml:space="preserve"> </w:t>
      </w:r>
    </w:p>
    <w:p w:rsidR="00000000" w:rsidDel="00000000" w:rsidP="00000000" w:rsidRDefault="00000000" w:rsidRPr="00000000" w14:paraId="00000009">
      <w:pPr>
        <w:spacing w:line="347" w:lineRule="auto"/>
        <w:ind w:left="433" w:right="2763" w:firstLine="430"/>
        <w:rPr/>
      </w:pPr>
      <w:r w:rsidDel="00000000" w:rsidR="00000000" w:rsidRPr="00000000">
        <w:rPr>
          <w:vertAlign w:val="superscript"/>
          <w:rtl w:val="0"/>
        </w:rPr>
        <w:t xml:space="preserve">1</w:t>
      </w:r>
      <w:r w:rsidDel="00000000" w:rsidR="00000000" w:rsidRPr="00000000">
        <w:rPr>
          <w:rtl w:val="0"/>
        </w:rPr>
        <w:t xml:space="preserve"> Department of Physics, Tezpur University, Assam, India</w:t>
      </w:r>
    </w:p>
    <w:p w:rsidR="00000000" w:rsidDel="00000000" w:rsidP="00000000" w:rsidRDefault="00000000" w:rsidRPr="00000000" w14:paraId="0000000A">
      <w:pPr>
        <w:spacing w:line="347" w:lineRule="auto"/>
        <w:ind w:left="433" w:right="2763" w:firstLine="430"/>
        <w:rPr/>
      </w:pPr>
      <w:r w:rsidDel="00000000" w:rsidR="00000000" w:rsidRPr="00000000">
        <w:rPr>
          <w:rtl w:val="0"/>
        </w:rPr>
      </w:r>
    </w:p>
    <w:p w:rsidR="00000000" w:rsidDel="00000000" w:rsidP="00000000" w:rsidRDefault="00000000" w:rsidRPr="00000000" w14:paraId="0000000B">
      <w:pPr>
        <w:spacing w:line="347" w:lineRule="auto"/>
        <w:ind w:left="433" w:right="2763" w:firstLine="430"/>
        <w:rPr/>
      </w:pPr>
      <w:r w:rsidDel="00000000" w:rsidR="00000000" w:rsidRPr="00000000">
        <w:rPr>
          <w:rtl w:val="0"/>
        </w:rPr>
        <w:t xml:space="preserve">*Corresponding Author: </w:t>
      </w:r>
      <w:r w:rsidDel="00000000" w:rsidR="00000000" w:rsidRPr="00000000">
        <w:rPr>
          <w:i w:val="1"/>
          <w:sz w:val="20"/>
          <w:szCs w:val="20"/>
          <w:rtl w:val="0"/>
        </w:rPr>
        <w:t xml:space="preserve">pkushdeka@gmail.com</w:t>
      </w:r>
      <w:r w:rsidDel="00000000" w:rsidR="00000000" w:rsidRPr="00000000">
        <w:rPr>
          <w:rtl w:val="0"/>
        </w:rPr>
        <w:t xml:space="preserve"> </w:t>
      </w:r>
    </w:p>
    <w:p w:rsidR="00000000" w:rsidDel="00000000" w:rsidP="00000000" w:rsidRDefault="00000000" w:rsidRPr="00000000" w14:paraId="0000000C">
      <w:pPr>
        <w:spacing w:after="128" w:lineRule="auto"/>
        <w:ind w:left="557" w:firstLine="0"/>
        <w:jc w:val="center"/>
        <w:rPr/>
      </w:pPr>
      <w:r w:rsidDel="00000000" w:rsidR="00000000" w:rsidRPr="00000000">
        <w:rPr>
          <w:sz w:val="38"/>
          <w:szCs w:val="38"/>
          <w:rtl w:val="0"/>
        </w:rPr>
        <w:t xml:space="preserve"> </w:t>
      </w:r>
      <w:r w:rsidDel="00000000" w:rsidR="00000000" w:rsidRPr="00000000">
        <w:rPr>
          <w:rtl w:val="0"/>
        </w:rPr>
      </w:r>
    </w:p>
    <w:p w:rsidR="00000000" w:rsidDel="00000000" w:rsidP="00000000" w:rsidRDefault="00000000" w:rsidRPr="00000000" w14:paraId="0000000D">
      <w:pPr>
        <w:spacing w:after="0" w:lineRule="auto"/>
        <w:ind w:left="242" w:firstLine="438"/>
        <w:rPr/>
      </w:pPr>
      <w:r w:rsidDel="00000000" w:rsidR="00000000" w:rsidRPr="00000000">
        <w:rPr>
          <w:rtl w:val="0"/>
        </w:rPr>
        <w:t xml:space="preserve">Abstract: Lorentz Invariance Violation (LIV) refers to the breaking of Lorentz symmetry, which ensures that the laws of nature remain identical for all inertial observers. If such violations exist, they could appear as intrinsic effects even in vacuum, independent of external influences. Studying how LIV modifies standard neutrino oscillation probabilities therefore provides a powerful tool to test this possibility. Since LIV effects are expected to be sub-dominant compared to the standard oscillation dynamics, they are typically treated as small perturbations to the standard matter Hamiltonian [1]. Within the theoretical framework of the Standard Model Extension (SME) [2], these perturbations can be consistently parameterized and analyzed.</w:t>
      </w:r>
    </w:p>
    <w:p w:rsidR="00000000" w:rsidDel="00000000" w:rsidP="00000000" w:rsidRDefault="00000000" w:rsidRPr="00000000" w14:paraId="0000000E">
      <w:pPr>
        <w:spacing w:after="0" w:lineRule="auto"/>
        <w:ind w:left="242" w:firstLine="438"/>
        <w:rPr/>
      </w:pPr>
      <w:r w:rsidDel="00000000" w:rsidR="00000000" w:rsidRPr="00000000">
        <w:rPr>
          <w:rtl w:val="0"/>
        </w:rPr>
      </w:r>
    </w:p>
    <w:p w:rsidR="00000000" w:rsidDel="00000000" w:rsidP="00000000" w:rsidRDefault="00000000" w:rsidRPr="00000000" w14:paraId="0000000F">
      <w:pPr>
        <w:spacing w:after="0" w:lineRule="auto"/>
        <w:ind w:left="242" w:firstLine="438"/>
        <w:rPr/>
      </w:pPr>
      <w:r w:rsidDel="00000000" w:rsidR="00000000" w:rsidRPr="00000000">
        <w:rPr>
          <w:rtl w:val="0"/>
        </w:rPr>
        <w:t xml:space="preserve">In this study, we incorporate the effective LIV Hamiltonian into the GLoBES simulation package [3] to perform numerical analyses of oscillation probabilities in the presence of LIV. Both CPT-odd (a</w:t>
      </w:r>
      <w:r w:rsidDel="00000000" w:rsidR="00000000" w:rsidRPr="00000000">
        <w:rPr>
          <w:vertAlign w:val="subscript"/>
          <w:rtl w:val="0"/>
        </w:rPr>
        <w:t xml:space="preserve">αβ</w:t>
      </w:r>
      <w:r w:rsidDel="00000000" w:rsidR="00000000" w:rsidRPr="00000000">
        <w:rPr>
          <w:rtl w:val="0"/>
        </w:rPr>
        <w:t xml:space="preserve">) and CPT-even (c</w:t>
      </w:r>
      <w:r w:rsidDel="00000000" w:rsidR="00000000" w:rsidRPr="00000000">
        <w:rPr>
          <w:vertAlign w:val="subscript"/>
          <w:rtl w:val="0"/>
        </w:rPr>
        <w:t xml:space="preserve">αβ</w:t>
      </w:r>
      <w:r w:rsidDel="00000000" w:rsidR="00000000" w:rsidRPr="00000000">
        <w:rPr>
          <w:rtl w:val="0"/>
        </w:rPr>
        <w:t xml:space="preserve">) components of LIV are examined independently, allowing us to distinguish their respective roles in shaping oscillation phenomenology. The energy dependence of the CPT-even LIV component makes it particularly interesting and we explore how its contribution differs from the LIV CPT-odd component. Using the Deep Underground Neutrino Experiment (DUNE) as a representative long-baseline setup, we investigate how LIV effects alter oscillation patterns, with special emphasis on the emergence of parameter degeneracies between LIV contributions and the standard oscillation parameters. Such degeneracies may obscure or mimic genuine oscillation effects, thereby influencing the interpretation of experimental results. We further assess their implications for precision measurements, focusing in particular on the sensitivity to leptonic CP violation.</w:t>
      </w:r>
    </w:p>
    <w:p w:rsidR="00000000" w:rsidDel="00000000" w:rsidP="00000000" w:rsidRDefault="00000000" w:rsidRPr="00000000" w14:paraId="00000010">
      <w:pPr>
        <w:spacing w:after="0" w:lineRule="auto"/>
        <w:ind w:left="242" w:firstLine="438"/>
        <w:rPr/>
      </w:pPr>
      <w:r w:rsidDel="00000000" w:rsidR="00000000" w:rsidRPr="00000000">
        <w:rPr>
          <w:rtl w:val="0"/>
        </w:rPr>
      </w:r>
    </w:p>
    <w:p w:rsidR="00000000" w:rsidDel="00000000" w:rsidP="00000000" w:rsidRDefault="00000000" w:rsidRPr="00000000" w14:paraId="00000011">
      <w:pPr>
        <w:spacing w:after="0" w:lineRule="auto"/>
        <w:ind w:left="242" w:hanging="61.99999999999999"/>
        <w:rPr/>
      </w:pPr>
      <w:r w:rsidDel="00000000" w:rsidR="00000000" w:rsidRPr="00000000">
        <w:rPr>
          <w:rtl w:val="0"/>
        </w:rPr>
        <w:t xml:space="preserve">References:</w:t>
      </w:r>
    </w:p>
    <w:p w:rsidR="00000000" w:rsidDel="00000000" w:rsidP="00000000" w:rsidRDefault="00000000" w:rsidRPr="00000000" w14:paraId="00000012">
      <w:pPr>
        <w:spacing w:after="0" w:lineRule="auto"/>
        <w:ind w:left="242" w:hanging="61.99999999999999"/>
        <w:rPr>
          <w:i w:val="1"/>
        </w:rPr>
      </w:pPr>
      <w:r w:rsidDel="00000000" w:rsidR="00000000" w:rsidRPr="00000000">
        <w:rPr>
          <w:rtl w:val="0"/>
        </w:rPr>
        <w:t xml:space="preserve">[1]</w:t>
      </w:r>
      <w:r w:rsidDel="00000000" w:rsidR="00000000" w:rsidRPr="00000000">
        <w:rPr>
          <w:i w:val="1"/>
          <w:rtl w:val="0"/>
        </w:rPr>
        <w:t xml:space="preserve"> S. K. Agarwalla, S. Das, S. Sahoo, and P. Swain, “Constraining Lorentz invariance violation with next-generation long-baseline experiments,” JHEP, vol. 2023, no. 07, p. 216, 2023, doi: 10.1007/JHEP07(2023)216.</w:t>
      </w:r>
    </w:p>
    <w:p w:rsidR="00000000" w:rsidDel="00000000" w:rsidP="00000000" w:rsidRDefault="00000000" w:rsidRPr="00000000" w14:paraId="00000013">
      <w:pPr>
        <w:spacing w:after="0" w:lineRule="auto"/>
        <w:ind w:left="242" w:hanging="61.99999999999999"/>
        <w:rPr>
          <w:i w:val="1"/>
        </w:rPr>
      </w:pPr>
      <w:r w:rsidDel="00000000" w:rsidR="00000000" w:rsidRPr="00000000">
        <w:rPr>
          <w:rtl w:val="0"/>
        </w:rPr>
      </w:r>
    </w:p>
    <w:p w:rsidR="00000000" w:rsidDel="00000000" w:rsidP="00000000" w:rsidRDefault="00000000" w:rsidRPr="00000000" w14:paraId="00000014">
      <w:pPr>
        <w:spacing w:after="0" w:lineRule="auto"/>
        <w:ind w:left="0" w:firstLine="0"/>
        <w:rPr>
          <w:i w:val="1"/>
        </w:rPr>
      </w:pPr>
      <w:r w:rsidDel="00000000" w:rsidR="00000000" w:rsidRPr="00000000">
        <w:rPr>
          <w:rtl w:val="0"/>
        </w:rPr>
        <w:t xml:space="preserve">   [2]</w:t>
      </w:r>
      <w:r w:rsidDel="00000000" w:rsidR="00000000" w:rsidRPr="00000000">
        <w:rPr>
          <w:i w:val="1"/>
          <w:rtl w:val="0"/>
        </w:rPr>
        <w:t xml:space="preserve"> A. Sarker, A. Medhi, and M. M. Devi, “Investigating the effects of Lorentz Invariance Violation  on the CP-sensitivities of the Deep Underground Neutrino Experiment,” Eur. Phys. J. C, vol. 83, no. 7, p. 592, 2023, doi: 10.1140/epjc/s10052-023-11785-4.</w:t>
      </w:r>
    </w:p>
    <w:p w:rsidR="00000000" w:rsidDel="00000000" w:rsidP="00000000" w:rsidRDefault="00000000" w:rsidRPr="00000000" w14:paraId="00000015">
      <w:pPr>
        <w:spacing w:after="0" w:lineRule="auto"/>
        <w:ind w:left="0" w:firstLine="0"/>
        <w:rPr>
          <w:i w:val="1"/>
        </w:rPr>
      </w:pPr>
      <w:r w:rsidDel="00000000" w:rsidR="00000000" w:rsidRPr="00000000">
        <w:rPr>
          <w:rtl w:val="0"/>
        </w:rPr>
        <w:t xml:space="preserve"> [3]</w:t>
      </w:r>
      <w:r w:rsidDel="00000000" w:rsidR="00000000" w:rsidRPr="00000000">
        <w:rPr>
          <w:i w:val="1"/>
          <w:rtl w:val="0"/>
        </w:rPr>
        <w:t xml:space="preserve"> P. Huber, M. Lindner, and W. Winter, “Simulation of long-baseline neutrino oscillation experiments with GLoBES (General Long Baseline Experiment Simulator),” Comput. Phys. Commun., vol. 167, pp. 195–202, 2005, doi: 10.1016/j.cpc.2005.01.003.</w:t>
      </w:r>
    </w:p>
    <w:p w:rsidR="00000000" w:rsidDel="00000000" w:rsidP="00000000" w:rsidRDefault="00000000" w:rsidRPr="00000000" w14:paraId="00000016">
      <w:pPr>
        <w:spacing w:after="0" w:lineRule="auto"/>
        <w:ind w:left="242" w:hanging="61.99999999999999"/>
        <w:rPr>
          <w:i w:val="1"/>
        </w:rPr>
      </w:pPr>
      <w:r w:rsidDel="00000000" w:rsidR="00000000" w:rsidRPr="00000000">
        <w:rPr>
          <w:rtl w:val="0"/>
        </w:rPr>
      </w:r>
    </w:p>
    <w:p w:rsidR="00000000" w:rsidDel="00000000" w:rsidP="00000000" w:rsidRDefault="00000000" w:rsidRPr="00000000" w14:paraId="00000017">
      <w:pPr>
        <w:tabs>
          <w:tab w:val="center" w:leader="none" w:pos="1067"/>
          <w:tab w:val="center" w:leader="none" w:pos="1963"/>
          <w:tab w:val="center" w:leader="none" w:pos="2391"/>
          <w:tab w:val="center" w:leader="none" w:pos="8050"/>
        </w:tabs>
        <w:spacing w:after="0" w:lineRule="auto"/>
        <w:ind w:left="0" w:firstLine="0"/>
        <w:jc w:val="left"/>
        <w:rPr>
          <w:rFonts w:ascii="Calibri" w:cs="Calibri" w:eastAsia="Calibri" w:hAnsi="Calibri"/>
        </w:rPr>
      </w:pPr>
      <w:r w:rsidDel="00000000" w:rsidR="00000000" w:rsidRPr="00000000">
        <w:rPr>
          <w:rtl w:val="0"/>
        </w:rPr>
      </w:r>
    </w:p>
    <w:p w:rsidR="00000000" w:rsidDel="00000000" w:rsidP="00000000" w:rsidRDefault="00000000" w:rsidRPr="00000000" w14:paraId="00000018">
      <w:pPr>
        <w:tabs>
          <w:tab w:val="center" w:leader="none" w:pos="1067"/>
          <w:tab w:val="center" w:leader="none" w:pos="1963"/>
          <w:tab w:val="center" w:leader="none" w:pos="2391"/>
          <w:tab w:val="center" w:leader="none" w:pos="8050"/>
        </w:tabs>
        <w:spacing w:after="0" w:lineRule="auto"/>
        <w:ind w:left="0" w:firstLine="0"/>
        <w:jc w:val="left"/>
        <w:rPr/>
      </w:pPr>
      <w:r w:rsidDel="00000000" w:rsidR="00000000" w:rsidRPr="00000000">
        <w:rPr>
          <w:rFonts w:ascii="Calibri" w:cs="Calibri" w:eastAsia="Calibri" w:hAnsi="Calibri"/>
          <w:rtl w:val="0"/>
        </w:rPr>
        <w:tab/>
      </w:r>
      <w:r w:rsidDel="00000000" w:rsidR="00000000" w:rsidRPr="00000000">
        <w:rPr>
          <w:rtl w:val="0"/>
        </w:rPr>
        <w:tab/>
        <w:t xml:space="preserve"> </w:t>
        <w:tab/>
        <w:t xml:space="preserve"> </w:t>
        <w:tab/>
      </w:r>
      <w:r w:rsidDel="00000000" w:rsidR="00000000" w:rsidRPr="00000000">
        <w:rPr>
          <w:rFonts w:ascii="Calibri" w:cs="Calibri" w:eastAsia="Calibri" w:hAnsi="Calibri"/>
          <w:rtl w:val="0"/>
        </w:rPr>
        <w:t xml:space="preserve"> </w:t>
      </w:r>
      <w:r w:rsidDel="00000000" w:rsidR="00000000" w:rsidRPr="00000000">
        <w:rPr>
          <w:rtl w:val="0"/>
        </w:rPr>
      </w:r>
    </w:p>
    <w:sectPr>
      <w:headerReference r:id="rId7" w:type="default"/>
      <w:footerReference r:id="rId8" w:type="default"/>
      <w:pgSz w:h="16840" w:w="11900" w:orient="portrait"/>
      <w:pgMar w:bottom="1273" w:top="1440" w:left="1690" w:right="1386"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Georgia"/>
  <w:font w:name="Calibri"/>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1B">
    <w:pPr>
      <w:keepNext w:val="0"/>
      <w:keepLines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440" w:right="0" w:hanging="1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wp:posOffset>
          </wp:positionH>
          <wp:positionV relativeFrom="paragraph">
            <wp:posOffset>155575</wp:posOffset>
          </wp:positionV>
          <wp:extent cx="712470" cy="280670"/>
          <wp:effectExtent b="0" l="0" r="0" t="0"/>
          <wp:wrapSquare wrapText="bothSides" distB="0" distT="0" distL="114300" distR="114300"/>
          <wp:docPr id="15" name="image1.jpg"/>
          <a:graphic>
            <a:graphicData uri="http://schemas.openxmlformats.org/drawingml/2006/picture">
              <pic:pic>
                <pic:nvPicPr>
                  <pic:cNvPr id="0" name="image1.jpg"/>
                  <pic:cNvPicPr preferRelativeResize="0"/>
                </pic:nvPicPr>
                <pic:blipFill>
                  <a:blip r:embed="rId1"/>
                  <a:srcRect b="0" l="0" r="0" t="0"/>
                  <a:stretch>
                    <a:fillRect/>
                  </a:stretch>
                </pic:blipFill>
                <pic:spPr>
                  <a:xfrm>
                    <a:off x="0" y="0"/>
                    <a:ext cx="712470" cy="280670"/>
                  </a:xfrm>
                  <a:prstGeom prst="rect"/>
                  <a:ln/>
                </pic:spPr>
              </pic:pic>
            </a:graphicData>
          </a:graphic>
        </wp:anchor>
      </w:drawing>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19">
    <w:pPr>
      <w:spacing w:after="471" w:lineRule="auto"/>
      <w:ind w:left="0" w:right="47" w:firstLine="0"/>
      <w:jc w:val="center"/>
      <w:rPr/>
    </w:pPr>
    <w:r w:rsidDel="00000000" w:rsidR="00000000" w:rsidRPr="00000000">
      <w:rPr>
        <w:rFonts w:ascii="Calibri" w:cs="Calibri" w:eastAsia="Calibri" w:hAnsi="Calibri"/>
        <w:sz w:val="20"/>
        <w:szCs w:val="20"/>
        <w:rtl w:val="0"/>
      </w:rPr>
      <w:t xml:space="preserve">Symposium on Physics: Advances in Research and Knowledge (SPARK) 2025 </w:t>
    </w:r>
    <w:r w:rsidDel="00000000" w:rsidR="00000000" w:rsidRPr="00000000">
      <w:rPr>
        <w:rtl w:val="0"/>
      </w:rPr>
    </w:r>
  </w:p>
  <w:p w:rsidR="00000000" w:rsidDel="00000000" w:rsidP="00000000" w:rsidRDefault="00000000" w:rsidRPr="00000000" w14:paraId="0000001A">
    <w:pPr>
      <w:keepNext w:val="0"/>
      <w:keepLines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440" w:right="0" w:hanging="1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en"/>
      </w:rPr>
    </w:rPrDefault>
    <w:pPrDefault>
      <w:pPr>
        <w:spacing w:after="42" w:line="259" w:lineRule="auto"/>
        <w:ind w:left="440" w:hanging="10"/>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0" w:line="259" w:lineRule="auto"/>
      <w:ind w:left="1072"/>
      <w:jc w:val="center"/>
    </w:pPr>
    <w:rPr>
      <w:rFonts w:ascii="Times New Roman" w:cs="Times New Roman" w:eastAsia="Times New Roman" w:hAnsi="Times New Roman"/>
      <w:color w:val="000000"/>
      <w:sz w:val="38"/>
      <w:szCs w:val="3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Normal"/>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character" w:styleId="Heading1Char" w:customStyle="1">
    <w:name w:val="Heading 1 Char"/>
    <w:link w:val="Heading1"/>
    <w:rPr>
      <w:rFonts w:ascii="Times New Roman" w:cs="Times New Roman" w:eastAsia="Times New Roman" w:hAnsi="Times New Roman"/>
      <w:color w:val="000000"/>
      <w:sz w:val="38"/>
    </w:rPr>
  </w:style>
  <w:style w:type="paragraph" w:styleId="Header">
    <w:name w:val="header"/>
    <w:basedOn w:val="Normal"/>
    <w:link w:val="HeaderChar"/>
    <w:uiPriority w:val="99"/>
    <w:unhideWhenUsed w:val="1"/>
    <w:rsid w:val="006E42A8"/>
    <w:pPr>
      <w:tabs>
        <w:tab w:val="center" w:pos="4680"/>
        <w:tab w:val="right" w:pos="9360"/>
      </w:tabs>
      <w:spacing w:after="0" w:line="240" w:lineRule="auto"/>
    </w:pPr>
  </w:style>
  <w:style w:type="character" w:styleId="HeaderChar" w:customStyle="1">
    <w:name w:val="Header Char"/>
    <w:basedOn w:val="DefaultParagraphFont"/>
    <w:link w:val="Header"/>
    <w:uiPriority w:val="99"/>
    <w:rsid w:val="006E42A8"/>
    <w:rPr>
      <w:rFonts w:ascii="Times New Roman" w:cs="Times New Roman" w:eastAsia="Times New Roman" w:hAnsi="Times New Roman"/>
      <w:color w:val="000000"/>
      <w:sz w:val="22"/>
    </w:rPr>
  </w:style>
  <w:style w:type="paragraph" w:styleId="Footer">
    <w:name w:val="footer"/>
    <w:basedOn w:val="Normal"/>
    <w:link w:val="FooterChar"/>
    <w:uiPriority w:val="99"/>
    <w:unhideWhenUsed w:val="1"/>
    <w:rsid w:val="006E42A8"/>
    <w:pPr>
      <w:tabs>
        <w:tab w:val="center" w:pos="4680"/>
        <w:tab w:val="right" w:pos="9360"/>
      </w:tabs>
      <w:spacing w:after="0" w:line="240" w:lineRule="auto"/>
    </w:pPr>
  </w:style>
  <w:style w:type="character" w:styleId="FooterChar" w:customStyle="1">
    <w:name w:val="Footer Char"/>
    <w:basedOn w:val="DefaultParagraphFont"/>
    <w:link w:val="Footer"/>
    <w:uiPriority w:val="99"/>
    <w:rsid w:val="006E42A8"/>
    <w:rPr>
      <w:rFonts w:ascii="Times New Roman" w:cs="Times New Roman" w:eastAsia="Times New Roman" w:hAnsi="Times New Roman"/>
      <w:color w:val="000000"/>
      <w:sz w:val="2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ttZmet4AQDFbwXN2N49qXaQD5XQ==">CgMxLjA4AHIhMXM2VkJqdldJYVE5Zm1QdTBDTUZLWm1nc3pHUW1ucUdl</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2025-03-17T12:45:00Z</dcterms:created>
  <dc:creator>Dr. Dipankar Chetia</dc:creator>
</cp:coreProperties>
</file>